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bookmarkStart w:id="0" w:name="_Toc493600072"/>
      <w:bookmarkStart w:id="1" w:name="_Toc493603105"/>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Default="00976956" w:rsidP="00976956">
      <w:pPr>
        <w:pStyle w:val="Default"/>
        <w:pBdr>
          <w:top w:val="single" w:sz="4" w:space="1" w:color="auto"/>
          <w:left w:val="single" w:sz="4" w:space="4" w:color="auto"/>
          <w:bottom w:val="single" w:sz="4" w:space="1" w:color="auto"/>
          <w:right w:val="single" w:sz="4" w:space="19" w:color="auto"/>
        </w:pBdr>
        <w:jc w:val="center"/>
        <w:rPr>
          <w:rFonts w:ascii="Arial" w:hAnsi="Arial" w:cs="Arial"/>
          <w:b/>
          <w:bCs/>
          <w:color w:val="000066"/>
          <w:sz w:val="32"/>
          <w:szCs w:val="32"/>
        </w:rPr>
      </w:pPr>
      <w:r>
        <w:rPr>
          <w:rFonts w:ascii="Arial" w:hAnsi="Arial" w:cs="Arial"/>
          <w:b/>
          <w:bCs/>
          <w:color w:val="000066"/>
          <w:sz w:val="32"/>
          <w:szCs w:val="32"/>
        </w:rPr>
        <w:t>POLÍTICA DE NEGOCIAÇÃO DE VALORES MOBILIÁRIOS</w:t>
      </w:r>
    </w:p>
    <w:p w:rsidR="00976956" w:rsidRPr="00AB6FE9" w:rsidRDefault="00976956" w:rsidP="00976956">
      <w:pPr>
        <w:pStyle w:val="Default"/>
        <w:pBdr>
          <w:top w:val="single" w:sz="4" w:space="1" w:color="auto"/>
          <w:left w:val="single" w:sz="4" w:space="4" w:color="auto"/>
          <w:bottom w:val="single" w:sz="4" w:space="1" w:color="auto"/>
          <w:right w:val="single" w:sz="4" w:space="19" w:color="auto"/>
        </w:pBdr>
        <w:jc w:val="center"/>
        <w:rPr>
          <w:rFonts w:ascii="Arial" w:hAnsi="Arial" w:cs="Arial"/>
          <w:b/>
          <w:bCs/>
          <w:color w:val="000066"/>
          <w:sz w:val="32"/>
          <w:szCs w:val="32"/>
        </w:rPr>
      </w:pPr>
      <w:r>
        <w:rPr>
          <w:rFonts w:ascii="Arial" w:hAnsi="Arial" w:cs="Arial"/>
          <w:b/>
          <w:bCs/>
          <w:color w:val="000066"/>
          <w:sz w:val="32"/>
          <w:szCs w:val="32"/>
        </w:rPr>
        <w:t>INSTRUÇÃO CVM 592</w:t>
      </w: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AB6FE9" w:rsidRPr="00AB6FE9" w:rsidRDefault="00AB6FE9"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p>
    <w:p w:rsidR="00355DE6" w:rsidRPr="00AB6FE9" w:rsidRDefault="00ED595A" w:rsidP="00976956">
      <w:pPr>
        <w:pStyle w:val="Default"/>
        <w:pBdr>
          <w:top w:val="single" w:sz="4" w:space="1" w:color="auto"/>
          <w:left w:val="single" w:sz="4" w:space="4" w:color="auto"/>
          <w:bottom w:val="single" w:sz="4" w:space="1" w:color="auto"/>
          <w:right w:val="single" w:sz="4" w:space="19" w:color="auto"/>
        </w:pBdr>
        <w:jc w:val="both"/>
        <w:rPr>
          <w:rFonts w:ascii="Arial" w:hAnsi="Arial" w:cs="Arial"/>
          <w:b/>
          <w:bCs/>
          <w:color w:val="000066"/>
          <w:sz w:val="22"/>
          <w:szCs w:val="22"/>
        </w:rPr>
      </w:pPr>
      <w:r w:rsidRPr="00E2763D">
        <w:rPr>
          <w:noProof/>
          <w:color w:val="000066"/>
        </w:rPr>
        <w:drawing>
          <wp:inline distT="0" distB="0" distL="0" distR="0" wp14:anchorId="05E8E71F" wp14:editId="52F7454F">
            <wp:extent cx="10477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p>
    <w:p w:rsidR="00355DE6" w:rsidRPr="00AB6FE9" w:rsidRDefault="00355DE6" w:rsidP="00976956">
      <w:pPr>
        <w:pStyle w:val="Default"/>
        <w:pBdr>
          <w:top w:val="single" w:sz="4" w:space="1" w:color="auto"/>
          <w:left w:val="single" w:sz="4" w:space="4" w:color="auto"/>
          <w:bottom w:val="single" w:sz="4" w:space="1" w:color="auto"/>
          <w:right w:val="single" w:sz="4" w:space="19" w:color="auto"/>
        </w:pBdr>
        <w:jc w:val="right"/>
        <w:rPr>
          <w:rFonts w:ascii="Arial" w:hAnsi="Arial" w:cs="Arial"/>
          <w:bCs/>
          <w:color w:val="000066"/>
          <w:sz w:val="22"/>
          <w:szCs w:val="22"/>
        </w:rPr>
      </w:pPr>
    </w:p>
    <w:p w:rsidR="00355DE6" w:rsidRDefault="00356519" w:rsidP="00976956">
      <w:pPr>
        <w:pStyle w:val="Default"/>
        <w:pBdr>
          <w:top w:val="single" w:sz="4" w:space="1" w:color="auto"/>
          <w:left w:val="single" w:sz="4" w:space="4" w:color="auto"/>
          <w:bottom w:val="single" w:sz="4" w:space="1" w:color="auto"/>
          <w:right w:val="single" w:sz="4" w:space="19" w:color="auto"/>
        </w:pBdr>
        <w:jc w:val="right"/>
        <w:rPr>
          <w:rFonts w:ascii="Arial" w:hAnsi="Arial" w:cs="Arial"/>
          <w:bCs/>
          <w:color w:val="000066"/>
          <w:sz w:val="22"/>
          <w:szCs w:val="22"/>
        </w:rPr>
      </w:pPr>
      <w:r>
        <w:rPr>
          <w:rFonts w:ascii="Arial" w:hAnsi="Arial" w:cs="Arial"/>
          <w:bCs/>
          <w:color w:val="000066"/>
          <w:sz w:val="22"/>
          <w:szCs w:val="22"/>
        </w:rPr>
        <w:t>Maio/</w:t>
      </w:r>
      <w:r w:rsidR="00355DE6" w:rsidRPr="00AB6FE9">
        <w:rPr>
          <w:rFonts w:ascii="Arial" w:hAnsi="Arial" w:cs="Arial"/>
          <w:bCs/>
          <w:color w:val="000066"/>
          <w:sz w:val="22"/>
          <w:szCs w:val="22"/>
        </w:rPr>
        <w:t>20</w:t>
      </w:r>
      <w:r>
        <w:rPr>
          <w:rFonts w:ascii="Arial" w:hAnsi="Arial" w:cs="Arial"/>
          <w:bCs/>
          <w:color w:val="000066"/>
          <w:sz w:val="22"/>
          <w:szCs w:val="22"/>
        </w:rPr>
        <w:t>20</w:t>
      </w:r>
      <w:bookmarkStart w:id="2" w:name="_GoBack"/>
      <w:bookmarkEnd w:id="2"/>
    </w:p>
    <w:p w:rsidR="00ED595A" w:rsidRPr="00AB6FE9" w:rsidRDefault="00ED595A" w:rsidP="00976956">
      <w:pPr>
        <w:pStyle w:val="Default"/>
        <w:pBdr>
          <w:top w:val="single" w:sz="4" w:space="1" w:color="auto"/>
          <w:left w:val="single" w:sz="4" w:space="4" w:color="auto"/>
          <w:bottom w:val="single" w:sz="4" w:space="1" w:color="auto"/>
          <w:right w:val="single" w:sz="4" w:space="19" w:color="auto"/>
        </w:pBdr>
        <w:jc w:val="right"/>
        <w:rPr>
          <w:rFonts w:ascii="Arial" w:hAnsi="Arial" w:cs="Arial"/>
          <w:color w:val="000066"/>
          <w:sz w:val="22"/>
          <w:szCs w:val="22"/>
        </w:rPr>
      </w:pPr>
    </w:p>
    <w:p w:rsidR="00355DE6" w:rsidRPr="00AB6FE9" w:rsidRDefault="00355DE6" w:rsidP="00976956">
      <w:pPr>
        <w:pStyle w:val="CabealhodoSumrio"/>
        <w:spacing w:before="0" w:line="240" w:lineRule="auto"/>
        <w:jc w:val="center"/>
        <w:rPr>
          <w:rFonts w:ascii="Arial" w:hAnsi="Arial" w:cs="Arial"/>
          <w:color w:val="000066"/>
          <w:sz w:val="22"/>
          <w:szCs w:val="22"/>
        </w:rPr>
      </w:pPr>
    </w:p>
    <w:p w:rsidR="00AB6FE9" w:rsidRPr="00AB6FE9" w:rsidRDefault="00AB6FE9" w:rsidP="00976956">
      <w:pPr>
        <w:spacing w:after="0" w:line="240" w:lineRule="auto"/>
        <w:rPr>
          <w:rFonts w:ascii="Arial" w:hAnsi="Arial" w:cs="Arial"/>
          <w:color w:val="000066"/>
        </w:rPr>
      </w:pPr>
    </w:p>
    <w:p w:rsidR="00AB6FE9" w:rsidRPr="00AB6FE9" w:rsidRDefault="00AB6FE9" w:rsidP="00976956">
      <w:pPr>
        <w:spacing w:after="0" w:line="240" w:lineRule="auto"/>
        <w:rPr>
          <w:rFonts w:ascii="Arial" w:hAnsi="Arial" w:cs="Arial"/>
          <w:color w:val="000066"/>
        </w:rPr>
      </w:pPr>
    </w:p>
    <w:p w:rsidR="00AB6FE9" w:rsidRPr="00AB6FE9" w:rsidRDefault="00AB6FE9" w:rsidP="00976956">
      <w:pPr>
        <w:spacing w:after="0" w:line="240" w:lineRule="auto"/>
        <w:rPr>
          <w:rFonts w:ascii="Arial" w:hAnsi="Arial" w:cs="Arial"/>
          <w:color w:val="000066"/>
        </w:rPr>
      </w:pPr>
    </w:p>
    <w:p w:rsidR="00CF63D5" w:rsidRPr="00AB6FE9" w:rsidRDefault="00CF63D5" w:rsidP="00976956">
      <w:pPr>
        <w:spacing w:after="0" w:line="240" w:lineRule="auto"/>
        <w:jc w:val="both"/>
        <w:rPr>
          <w:rFonts w:ascii="Arial" w:hAnsi="Arial" w:cs="Arial"/>
          <w:b/>
          <w:color w:val="000066"/>
        </w:rPr>
      </w:pPr>
    </w:p>
    <w:sdt>
      <w:sdtPr>
        <w:rPr>
          <w:rFonts w:ascii="Arial" w:eastAsiaTheme="minorHAnsi" w:hAnsi="Arial" w:cs="Arial"/>
          <w:b w:val="0"/>
          <w:bCs w:val="0"/>
          <w:color w:val="000066"/>
          <w:sz w:val="22"/>
          <w:szCs w:val="22"/>
        </w:rPr>
        <w:id w:val="308495503"/>
        <w:docPartObj>
          <w:docPartGallery w:val="Table of Contents"/>
          <w:docPartUnique/>
        </w:docPartObj>
      </w:sdtPr>
      <w:sdtEndPr>
        <w:rPr>
          <w:rFonts w:eastAsiaTheme="minorEastAsia"/>
        </w:rPr>
      </w:sdtEndPr>
      <w:sdtContent>
        <w:p w:rsidR="00C95DB3" w:rsidRPr="00AB6FE9" w:rsidRDefault="00C95DB3" w:rsidP="00976956">
          <w:pPr>
            <w:pStyle w:val="CabealhodoSumrio"/>
            <w:spacing w:before="0" w:line="240" w:lineRule="auto"/>
            <w:jc w:val="center"/>
            <w:rPr>
              <w:rFonts w:ascii="Arial" w:hAnsi="Arial" w:cs="Arial"/>
              <w:color w:val="000066"/>
              <w:sz w:val="22"/>
              <w:szCs w:val="22"/>
            </w:rPr>
          </w:pPr>
          <w:r w:rsidRPr="00AB6FE9">
            <w:rPr>
              <w:rFonts w:ascii="Arial" w:hAnsi="Arial" w:cs="Arial"/>
              <w:color w:val="000066"/>
              <w:sz w:val="22"/>
              <w:szCs w:val="22"/>
            </w:rPr>
            <w:t>INDICE</w:t>
          </w:r>
        </w:p>
        <w:p w:rsidR="00976956" w:rsidRPr="00976956" w:rsidRDefault="00E413DE">
          <w:pPr>
            <w:pStyle w:val="Sumrio1"/>
            <w:rPr>
              <w:rFonts w:asciiTheme="minorHAnsi" w:eastAsiaTheme="minorEastAsia" w:hAnsiTheme="minorHAnsi" w:cstheme="minorBidi"/>
              <w:bCs w:val="0"/>
              <w:caps w:val="0"/>
              <w:smallCaps w:val="0"/>
              <w:color w:val="auto"/>
              <w:spacing w:val="0"/>
              <w:sz w:val="22"/>
              <w:szCs w:val="22"/>
            </w:rPr>
          </w:pPr>
          <w:r w:rsidRPr="00976956">
            <w:rPr>
              <w:sz w:val="22"/>
              <w:szCs w:val="22"/>
            </w:rPr>
            <w:fldChar w:fldCharType="begin"/>
          </w:r>
          <w:r w:rsidR="00C95DB3" w:rsidRPr="00976956">
            <w:rPr>
              <w:sz w:val="22"/>
              <w:szCs w:val="22"/>
            </w:rPr>
            <w:instrText xml:space="preserve"> TOC \o "1-3" \h \z \u </w:instrText>
          </w:r>
          <w:r w:rsidRPr="00976956">
            <w:rPr>
              <w:sz w:val="22"/>
              <w:szCs w:val="22"/>
            </w:rPr>
            <w:fldChar w:fldCharType="separate"/>
          </w:r>
          <w:hyperlink w:anchor="_Toc527966420" w:history="1">
            <w:r w:rsidR="00976956" w:rsidRPr="00976956">
              <w:rPr>
                <w:rStyle w:val="Hyperlink"/>
              </w:rPr>
              <w:t>1.</w:t>
            </w:r>
            <w:r w:rsidR="00976956" w:rsidRPr="00976956">
              <w:rPr>
                <w:rFonts w:asciiTheme="minorHAnsi" w:eastAsiaTheme="minorEastAsia" w:hAnsiTheme="minorHAnsi" w:cstheme="minorBidi"/>
                <w:bCs w:val="0"/>
                <w:caps w:val="0"/>
                <w:smallCaps w:val="0"/>
                <w:color w:val="auto"/>
                <w:spacing w:val="0"/>
                <w:sz w:val="22"/>
                <w:szCs w:val="22"/>
              </w:rPr>
              <w:tab/>
            </w:r>
            <w:r w:rsidR="00976956" w:rsidRPr="00976956">
              <w:rPr>
                <w:rStyle w:val="Hyperlink"/>
              </w:rPr>
              <w:t>Objetivo</w:t>
            </w:r>
            <w:r w:rsidR="00976956" w:rsidRPr="00976956">
              <w:rPr>
                <w:webHidden/>
              </w:rPr>
              <w:tab/>
            </w:r>
            <w:r w:rsidR="00976956" w:rsidRPr="00976956">
              <w:rPr>
                <w:webHidden/>
              </w:rPr>
              <w:fldChar w:fldCharType="begin"/>
            </w:r>
            <w:r w:rsidR="00976956" w:rsidRPr="00976956">
              <w:rPr>
                <w:webHidden/>
              </w:rPr>
              <w:instrText xml:space="preserve"> PAGEREF _Toc527966420 \h </w:instrText>
            </w:r>
            <w:r w:rsidR="00976956" w:rsidRPr="00976956">
              <w:rPr>
                <w:webHidden/>
              </w:rPr>
            </w:r>
            <w:r w:rsidR="00976956" w:rsidRPr="00976956">
              <w:rPr>
                <w:webHidden/>
              </w:rPr>
              <w:fldChar w:fldCharType="separate"/>
            </w:r>
            <w:r w:rsidR="00726D4A">
              <w:rPr>
                <w:webHidden/>
              </w:rPr>
              <w:t>2</w:t>
            </w:r>
            <w:r w:rsidR="00976956" w:rsidRPr="00976956">
              <w:rPr>
                <w:webHidden/>
              </w:rPr>
              <w:fldChar w:fldCharType="end"/>
            </w:r>
          </w:hyperlink>
        </w:p>
        <w:p w:rsidR="00976956" w:rsidRPr="00976956" w:rsidRDefault="001069B7">
          <w:pPr>
            <w:pStyle w:val="Sumrio1"/>
            <w:rPr>
              <w:rFonts w:asciiTheme="minorHAnsi" w:eastAsiaTheme="minorEastAsia" w:hAnsiTheme="minorHAnsi" w:cstheme="minorBidi"/>
              <w:bCs w:val="0"/>
              <w:caps w:val="0"/>
              <w:smallCaps w:val="0"/>
              <w:color w:val="auto"/>
              <w:spacing w:val="0"/>
              <w:sz w:val="22"/>
              <w:szCs w:val="22"/>
            </w:rPr>
          </w:pPr>
          <w:hyperlink w:anchor="_Toc527966421" w:history="1">
            <w:r w:rsidR="00976956" w:rsidRPr="00976956">
              <w:rPr>
                <w:rStyle w:val="Hyperlink"/>
              </w:rPr>
              <w:t>2.</w:t>
            </w:r>
            <w:r w:rsidR="00976956" w:rsidRPr="00976956">
              <w:rPr>
                <w:rFonts w:asciiTheme="minorHAnsi" w:eastAsiaTheme="minorEastAsia" w:hAnsiTheme="minorHAnsi" w:cstheme="minorBidi"/>
                <w:bCs w:val="0"/>
                <w:caps w:val="0"/>
                <w:smallCaps w:val="0"/>
                <w:color w:val="auto"/>
                <w:spacing w:val="0"/>
                <w:sz w:val="22"/>
                <w:szCs w:val="22"/>
              </w:rPr>
              <w:tab/>
            </w:r>
            <w:r w:rsidR="00976956" w:rsidRPr="00976956">
              <w:rPr>
                <w:rStyle w:val="Hyperlink"/>
              </w:rPr>
              <w:t>Abrangência</w:t>
            </w:r>
            <w:r w:rsidR="00976956" w:rsidRPr="00976956">
              <w:rPr>
                <w:webHidden/>
              </w:rPr>
              <w:tab/>
            </w:r>
            <w:r w:rsidR="00976956" w:rsidRPr="00976956">
              <w:rPr>
                <w:webHidden/>
              </w:rPr>
              <w:fldChar w:fldCharType="begin"/>
            </w:r>
            <w:r w:rsidR="00976956" w:rsidRPr="00976956">
              <w:rPr>
                <w:webHidden/>
              </w:rPr>
              <w:instrText xml:space="preserve"> PAGEREF _Toc527966421 \h </w:instrText>
            </w:r>
            <w:r w:rsidR="00976956" w:rsidRPr="00976956">
              <w:rPr>
                <w:webHidden/>
              </w:rPr>
            </w:r>
            <w:r w:rsidR="00976956" w:rsidRPr="00976956">
              <w:rPr>
                <w:webHidden/>
              </w:rPr>
              <w:fldChar w:fldCharType="separate"/>
            </w:r>
            <w:r w:rsidR="00726D4A">
              <w:rPr>
                <w:webHidden/>
              </w:rPr>
              <w:t>2</w:t>
            </w:r>
            <w:r w:rsidR="00976956" w:rsidRPr="00976956">
              <w:rPr>
                <w:webHidden/>
              </w:rPr>
              <w:fldChar w:fldCharType="end"/>
            </w:r>
          </w:hyperlink>
        </w:p>
        <w:p w:rsidR="00976956" w:rsidRPr="00976956" w:rsidRDefault="001069B7">
          <w:pPr>
            <w:pStyle w:val="Sumrio1"/>
            <w:rPr>
              <w:rFonts w:asciiTheme="minorHAnsi" w:eastAsiaTheme="minorEastAsia" w:hAnsiTheme="minorHAnsi" w:cstheme="minorBidi"/>
              <w:bCs w:val="0"/>
              <w:caps w:val="0"/>
              <w:smallCaps w:val="0"/>
              <w:color w:val="auto"/>
              <w:spacing w:val="0"/>
              <w:sz w:val="22"/>
              <w:szCs w:val="22"/>
            </w:rPr>
          </w:pPr>
          <w:hyperlink w:anchor="_Toc527966422" w:history="1">
            <w:r w:rsidR="00976956" w:rsidRPr="00976956">
              <w:rPr>
                <w:rStyle w:val="Hyperlink"/>
              </w:rPr>
              <w:t>3.</w:t>
            </w:r>
            <w:r w:rsidR="00976956" w:rsidRPr="00976956">
              <w:rPr>
                <w:rFonts w:asciiTheme="minorHAnsi" w:eastAsiaTheme="minorEastAsia" w:hAnsiTheme="minorHAnsi" w:cstheme="minorBidi"/>
                <w:bCs w:val="0"/>
                <w:caps w:val="0"/>
                <w:smallCaps w:val="0"/>
                <w:color w:val="auto"/>
                <w:spacing w:val="0"/>
                <w:sz w:val="22"/>
                <w:szCs w:val="22"/>
              </w:rPr>
              <w:tab/>
            </w:r>
            <w:r w:rsidR="00976956" w:rsidRPr="00976956">
              <w:rPr>
                <w:rStyle w:val="Hyperlink"/>
              </w:rPr>
              <w:t>Investimentos permitidos sem restrições</w:t>
            </w:r>
            <w:r w:rsidR="00976956" w:rsidRPr="00976956">
              <w:rPr>
                <w:webHidden/>
              </w:rPr>
              <w:tab/>
            </w:r>
            <w:r w:rsidR="00976956" w:rsidRPr="00976956">
              <w:rPr>
                <w:webHidden/>
              </w:rPr>
              <w:fldChar w:fldCharType="begin"/>
            </w:r>
            <w:r w:rsidR="00976956" w:rsidRPr="00976956">
              <w:rPr>
                <w:webHidden/>
              </w:rPr>
              <w:instrText xml:space="preserve"> PAGEREF _Toc527966422 \h </w:instrText>
            </w:r>
            <w:r w:rsidR="00976956" w:rsidRPr="00976956">
              <w:rPr>
                <w:webHidden/>
              </w:rPr>
            </w:r>
            <w:r w:rsidR="00976956" w:rsidRPr="00976956">
              <w:rPr>
                <w:webHidden/>
              </w:rPr>
              <w:fldChar w:fldCharType="separate"/>
            </w:r>
            <w:r w:rsidR="00726D4A">
              <w:rPr>
                <w:webHidden/>
              </w:rPr>
              <w:t>2</w:t>
            </w:r>
            <w:r w:rsidR="00976956" w:rsidRPr="00976956">
              <w:rPr>
                <w:webHidden/>
              </w:rPr>
              <w:fldChar w:fldCharType="end"/>
            </w:r>
          </w:hyperlink>
        </w:p>
        <w:p w:rsidR="00976956" w:rsidRPr="00976956" w:rsidRDefault="001069B7">
          <w:pPr>
            <w:pStyle w:val="Sumrio1"/>
            <w:rPr>
              <w:rFonts w:asciiTheme="minorHAnsi" w:eastAsiaTheme="minorEastAsia" w:hAnsiTheme="minorHAnsi" w:cstheme="minorBidi"/>
              <w:bCs w:val="0"/>
              <w:caps w:val="0"/>
              <w:smallCaps w:val="0"/>
              <w:color w:val="auto"/>
              <w:spacing w:val="0"/>
              <w:sz w:val="22"/>
              <w:szCs w:val="22"/>
            </w:rPr>
          </w:pPr>
          <w:hyperlink w:anchor="_Toc527966423" w:history="1">
            <w:r w:rsidR="00976956" w:rsidRPr="00976956">
              <w:rPr>
                <w:rStyle w:val="Hyperlink"/>
              </w:rPr>
              <w:t>4.</w:t>
            </w:r>
            <w:r w:rsidR="00976956" w:rsidRPr="00976956">
              <w:rPr>
                <w:rFonts w:asciiTheme="minorHAnsi" w:eastAsiaTheme="minorEastAsia" w:hAnsiTheme="minorHAnsi" w:cstheme="minorBidi"/>
                <w:bCs w:val="0"/>
                <w:caps w:val="0"/>
                <w:smallCaps w:val="0"/>
                <w:color w:val="auto"/>
                <w:spacing w:val="0"/>
                <w:sz w:val="22"/>
                <w:szCs w:val="22"/>
              </w:rPr>
              <w:tab/>
            </w:r>
            <w:r w:rsidR="00976956" w:rsidRPr="00976956">
              <w:rPr>
                <w:rStyle w:val="Hyperlink"/>
              </w:rPr>
              <w:t>Investimentos permitidos com restrições</w:t>
            </w:r>
            <w:r w:rsidR="00976956" w:rsidRPr="00976956">
              <w:rPr>
                <w:webHidden/>
              </w:rPr>
              <w:tab/>
            </w:r>
            <w:r w:rsidR="00976956" w:rsidRPr="00976956">
              <w:rPr>
                <w:webHidden/>
              </w:rPr>
              <w:fldChar w:fldCharType="begin"/>
            </w:r>
            <w:r w:rsidR="00976956" w:rsidRPr="00976956">
              <w:rPr>
                <w:webHidden/>
              </w:rPr>
              <w:instrText xml:space="preserve"> PAGEREF _Toc527966423 \h </w:instrText>
            </w:r>
            <w:r w:rsidR="00976956" w:rsidRPr="00976956">
              <w:rPr>
                <w:webHidden/>
              </w:rPr>
            </w:r>
            <w:r w:rsidR="00976956" w:rsidRPr="00976956">
              <w:rPr>
                <w:webHidden/>
              </w:rPr>
              <w:fldChar w:fldCharType="separate"/>
            </w:r>
            <w:r w:rsidR="00726D4A">
              <w:rPr>
                <w:webHidden/>
              </w:rPr>
              <w:t>2</w:t>
            </w:r>
            <w:r w:rsidR="00976956" w:rsidRPr="00976956">
              <w:rPr>
                <w:webHidden/>
              </w:rPr>
              <w:fldChar w:fldCharType="end"/>
            </w:r>
          </w:hyperlink>
        </w:p>
        <w:p w:rsidR="00976956" w:rsidRPr="00976956" w:rsidRDefault="001069B7">
          <w:pPr>
            <w:pStyle w:val="Sumrio1"/>
            <w:rPr>
              <w:rFonts w:asciiTheme="minorHAnsi" w:eastAsiaTheme="minorEastAsia" w:hAnsiTheme="minorHAnsi" w:cstheme="minorBidi"/>
              <w:bCs w:val="0"/>
              <w:caps w:val="0"/>
              <w:smallCaps w:val="0"/>
              <w:color w:val="auto"/>
              <w:spacing w:val="0"/>
              <w:sz w:val="22"/>
              <w:szCs w:val="22"/>
            </w:rPr>
          </w:pPr>
          <w:hyperlink w:anchor="_Toc527966424" w:history="1">
            <w:r w:rsidR="00976956" w:rsidRPr="00976956">
              <w:rPr>
                <w:rStyle w:val="Hyperlink"/>
              </w:rPr>
              <w:t>5.</w:t>
            </w:r>
            <w:r w:rsidR="00976956" w:rsidRPr="00976956">
              <w:rPr>
                <w:rFonts w:asciiTheme="minorHAnsi" w:eastAsiaTheme="minorEastAsia" w:hAnsiTheme="minorHAnsi" w:cstheme="minorBidi"/>
                <w:bCs w:val="0"/>
                <w:caps w:val="0"/>
                <w:smallCaps w:val="0"/>
                <w:color w:val="auto"/>
                <w:spacing w:val="0"/>
                <w:sz w:val="22"/>
                <w:szCs w:val="22"/>
              </w:rPr>
              <w:tab/>
            </w:r>
            <w:r w:rsidR="00976956" w:rsidRPr="00976956">
              <w:rPr>
                <w:rStyle w:val="Hyperlink"/>
              </w:rPr>
              <w:t>Investimentos da carteira própria do consultor</w:t>
            </w:r>
            <w:r w:rsidR="00976956" w:rsidRPr="00976956">
              <w:rPr>
                <w:webHidden/>
              </w:rPr>
              <w:tab/>
            </w:r>
            <w:r w:rsidR="00976956" w:rsidRPr="00976956">
              <w:rPr>
                <w:webHidden/>
              </w:rPr>
              <w:fldChar w:fldCharType="begin"/>
            </w:r>
            <w:r w:rsidR="00976956" w:rsidRPr="00976956">
              <w:rPr>
                <w:webHidden/>
              </w:rPr>
              <w:instrText xml:space="preserve"> PAGEREF _Toc527966424 \h </w:instrText>
            </w:r>
            <w:r w:rsidR="00976956" w:rsidRPr="00976956">
              <w:rPr>
                <w:webHidden/>
              </w:rPr>
            </w:r>
            <w:r w:rsidR="00976956" w:rsidRPr="00976956">
              <w:rPr>
                <w:webHidden/>
              </w:rPr>
              <w:fldChar w:fldCharType="separate"/>
            </w:r>
            <w:r w:rsidR="00726D4A">
              <w:rPr>
                <w:webHidden/>
              </w:rPr>
              <w:t>3</w:t>
            </w:r>
            <w:r w:rsidR="00976956" w:rsidRPr="00976956">
              <w:rPr>
                <w:webHidden/>
              </w:rPr>
              <w:fldChar w:fldCharType="end"/>
            </w:r>
          </w:hyperlink>
        </w:p>
        <w:p w:rsidR="00976956" w:rsidRPr="00976956" w:rsidRDefault="001069B7">
          <w:pPr>
            <w:pStyle w:val="Sumrio1"/>
            <w:rPr>
              <w:rFonts w:asciiTheme="minorHAnsi" w:eastAsiaTheme="minorEastAsia" w:hAnsiTheme="minorHAnsi" w:cstheme="minorBidi"/>
              <w:bCs w:val="0"/>
              <w:caps w:val="0"/>
              <w:smallCaps w:val="0"/>
              <w:color w:val="auto"/>
              <w:spacing w:val="0"/>
              <w:sz w:val="22"/>
              <w:szCs w:val="22"/>
            </w:rPr>
          </w:pPr>
          <w:hyperlink w:anchor="_Toc527966425" w:history="1">
            <w:r w:rsidR="00976956" w:rsidRPr="00976956">
              <w:rPr>
                <w:rStyle w:val="Hyperlink"/>
              </w:rPr>
              <w:t>6.</w:t>
            </w:r>
            <w:r w:rsidR="00976956" w:rsidRPr="00976956">
              <w:rPr>
                <w:rFonts w:asciiTheme="minorHAnsi" w:eastAsiaTheme="minorEastAsia" w:hAnsiTheme="minorHAnsi" w:cstheme="minorBidi"/>
                <w:bCs w:val="0"/>
                <w:caps w:val="0"/>
                <w:smallCaps w:val="0"/>
                <w:color w:val="auto"/>
                <w:spacing w:val="0"/>
                <w:sz w:val="22"/>
                <w:szCs w:val="22"/>
              </w:rPr>
              <w:tab/>
            </w:r>
            <w:r w:rsidR="00976956" w:rsidRPr="00976956">
              <w:rPr>
                <w:rStyle w:val="Hyperlink"/>
              </w:rPr>
              <w:t>Monitoramento e Controles</w:t>
            </w:r>
            <w:r w:rsidR="00976956" w:rsidRPr="00976956">
              <w:rPr>
                <w:webHidden/>
              </w:rPr>
              <w:tab/>
            </w:r>
            <w:r w:rsidR="00976956" w:rsidRPr="00976956">
              <w:rPr>
                <w:webHidden/>
              </w:rPr>
              <w:fldChar w:fldCharType="begin"/>
            </w:r>
            <w:r w:rsidR="00976956" w:rsidRPr="00976956">
              <w:rPr>
                <w:webHidden/>
              </w:rPr>
              <w:instrText xml:space="preserve"> PAGEREF _Toc527966425 \h </w:instrText>
            </w:r>
            <w:r w:rsidR="00976956" w:rsidRPr="00976956">
              <w:rPr>
                <w:webHidden/>
              </w:rPr>
            </w:r>
            <w:r w:rsidR="00976956" w:rsidRPr="00976956">
              <w:rPr>
                <w:webHidden/>
              </w:rPr>
              <w:fldChar w:fldCharType="separate"/>
            </w:r>
            <w:r w:rsidR="00726D4A">
              <w:rPr>
                <w:webHidden/>
              </w:rPr>
              <w:t>3</w:t>
            </w:r>
            <w:r w:rsidR="00976956" w:rsidRPr="00976956">
              <w:rPr>
                <w:webHidden/>
              </w:rPr>
              <w:fldChar w:fldCharType="end"/>
            </w:r>
          </w:hyperlink>
        </w:p>
        <w:p w:rsidR="00C95DB3" w:rsidRPr="00AB6FE9" w:rsidRDefault="00E413DE" w:rsidP="00976956">
          <w:pPr>
            <w:spacing w:after="0" w:line="240" w:lineRule="auto"/>
            <w:rPr>
              <w:rFonts w:ascii="Arial" w:hAnsi="Arial" w:cs="Arial"/>
              <w:color w:val="000066"/>
            </w:rPr>
          </w:pPr>
          <w:r w:rsidRPr="00976956">
            <w:rPr>
              <w:rFonts w:ascii="Arial" w:hAnsi="Arial" w:cs="Arial"/>
              <w:b/>
              <w:color w:val="000066"/>
            </w:rPr>
            <w:fldChar w:fldCharType="end"/>
          </w:r>
        </w:p>
      </w:sdtContent>
    </w:sdt>
    <w:p w:rsidR="00AB6FE9" w:rsidRPr="00976956" w:rsidRDefault="00AB6FE9" w:rsidP="00976956">
      <w:pPr>
        <w:spacing w:after="0" w:line="240" w:lineRule="auto"/>
        <w:rPr>
          <w:rFonts w:ascii="Arial" w:hAnsi="Arial" w:cs="Arial"/>
          <w:color w:val="000066"/>
        </w:rPr>
      </w:pPr>
      <w:r w:rsidRPr="00AB6FE9">
        <w:rPr>
          <w:rFonts w:ascii="Arial" w:hAnsi="Arial" w:cs="Arial"/>
          <w:b/>
          <w:color w:val="000066"/>
        </w:rPr>
        <w:br w:type="page"/>
      </w:r>
    </w:p>
    <w:p w:rsidR="00CF63D5" w:rsidRPr="00AB6FE9" w:rsidRDefault="002D19A9" w:rsidP="00976956">
      <w:pPr>
        <w:pStyle w:val="Ttulo1"/>
        <w:numPr>
          <w:ilvl w:val="0"/>
          <w:numId w:val="1"/>
        </w:numPr>
        <w:spacing w:before="0" w:after="0" w:line="240" w:lineRule="auto"/>
        <w:jc w:val="both"/>
        <w:rPr>
          <w:rFonts w:ascii="Arial" w:hAnsi="Arial" w:cs="Arial"/>
          <w:b/>
          <w:color w:val="000066"/>
          <w:sz w:val="22"/>
          <w:szCs w:val="22"/>
        </w:rPr>
      </w:pPr>
      <w:bookmarkStart w:id="3" w:name="_Toc527966420"/>
      <w:r w:rsidRPr="00AB6FE9">
        <w:rPr>
          <w:rFonts w:ascii="Arial" w:hAnsi="Arial" w:cs="Arial"/>
          <w:b/>
          <w:color w:val="000066"/>
          <w:sz w:val="22"/>
          <w:szCs w:val="22"/>
        </w:rPr>
        <w:lastRenderedPageBreak/>
        <w:t>Objetivo</w:t>
      </w:r>
      <w:bookmarkEnd w:id="0"/>
      <w:bookmarkEnd w:id="1"/>
      <w:bookmarkEnd w:id="3"/>
    </w:p>
    <w:p w:rsidR="00AB6FE9" w:rsidRPr="00AB6FE9" w:rsidRDefault="00AB6FE9" w:rsidP="00976956">
      <w:pPr>
        <w:spacing w:after="0" w:line="240" w:lineRule="auto"/>
        <w:rPr>
          <w:rFonts w:ascii="Arial" w:hAnsi="Arial" w:cs="Arial"/>
          <w:color w:val="000066"/>
        </w:rPr>
      </w:pPr>
    </w:p>
    <w:p w:rsidR="00976956" w:rsidRDefault="00976956" w:rsidP="00976956">
      <w:pPr>
        <w:spacing w:after="0" w:line="240" w:lineRule="auto"/>
        <w:jc w:val="both"/>
        <w:rPr>
          <w:rFonts w:ascii="Arial" w:hAnsi="Arial" w:cs="Arial"/>
          <w:color w:val="000066"/>
        </w:rPr>
      </w:pPr>
      <w:r>
        <w:rPr>
          <w:rFonts w:ascii="Arial" w:hAnsi="Arial" w:cs="Arial"/>
          <w:color w:val="000066"/>
        </w:rPr>
        <w:t>Esta Política tem por objetivo definir os procedimentos e controles para a negociação de valores mobiliários por administradores, empregados, colaboradores e pelo Banco Alfa de Investimento S.A. (Alfa), no âmbito da prestação do serviço de consultoria de valores mobiliários, dentro dos limites estabelecidos por lei, nos termos da Instrução CVM nº 592, preservando a transparência nas negociações, e afastando situações de conflitos de interesses.</w:t>
      </w:r>
    </w:p>
    <w:p w:rsidR="00AB6FE9" w:rsidRPr="00AB6FE9" w:rsidRDefault="00AB6FE9" w:rsidP="00976956">
      <w:pPr>
        <w:spacing w:after="0" w:line="240" w:lineRule="auto"/>
        <w:jc w:val="both"/>
        <w:rPr>
          <w:rFonts w:ascii="Arial" w:hAnsi="Arial" w:cs="Arial"/>
          <w:color w:val="000066"/>
        </w:rPr>
      </w:pPr>
    </w:p>
    <w:p w:rsidR="00D62FF8" w:rsidRPr="00AB6FE9" w:rsidRDefault="00D62FF8" w:rsidP="00976956">
      <w:pPr>
        <w:spacing w:after="0" w:line="240" w:lineRule="auto"/>
        <w:rPr>
          <w:rFonts w:ascii="Arial" w:hAnsi="Arial" w:cs="Arial"/>
          <w:color w:val="000066"/>
        </w:rPr>
      </w:pPr>
    </w:p>
    <w:p w:rsidR="00D62FF8" w:rsidRPr="00AB6FE9" w:rsidRDefault="007F7C67" w:rsidP="00976956">
      <w:pPr>
        <w:pStyle w:val="Ttulo1"/>
        <w:numPr>
          <w:ilvl w:val="0"/>
          <w:numId w:val="1"/>
        </w:numPr>
        <w:spacing w:before="0" w:after="0" w:line="240" w:lineRule="auto"/>
        <w:jc w:val="both"/>
        <w:rPr>
          <w:rFonts w:ascii="Arial" w:hAnsi="Arial" w:cs="Arial"/>
          <w:b/>
          <w:color w:val="000066"/>
          <w:sz w:val="22"/>
          <w:szCs w:val="22"/>
        </w:rPr>
      </w:pPr>
      <w:bookmarkStart w:id="4" w:name="_Toc527966421"/>
      <w:r w:rsidRPr="00AB6FE9">
        <w:rPr>
          <w:rFonts w:ascii="Arial" w:hAnsi="Arial" w:cs="Arial"/>
          <w:b/>
          <w:color w:val="000066"/>
          <w:sz w:val="22"/>
          <w:szCs w:val="22"/>
        </w:rPr>
        <w:t>Abrangência</w:t>
      </w:r>
      <w:bookmarkEnd w:id="4"/>
    </w:p>
    <w:p w:rsidR="00AB6FE9" w:rsidRPr="00AB6FE9" w:rsidRDefault="00AB6FE9" w:rsidP="00976956">
      <w:pPr>
        <w:spacing w:after="0" w:line="240" w:lineRule="auto"/>
        <w:jc w:val="both"/>
        <w:rPr>
          <w:rFonts w:ascii="Arial" w:hAnsi="Arial" w:cs="Arial"/>
          <w:color w:val="000066"/>
        </w:rPr>
      </w:pPr>
    </w:p>
    <w:p w:rsidR="00976956" w:rsidRPr="00475BF4" w:rsidRDefault="00976956" w:rsidP="00976956">
      <w:pPr>
        <w:spacing w:after="0" w:line="240" w:lineRule="auto"/>
        <w:jc w:val="both"/>
        <w:rPr>
          <w:rFonts w:ascii="Arial" w:hAnsi="Arial" w:cs="Arial"/>
          <w:i/>
          <w:color w:val="000066"/>
        </w:rPr>
      </w:pPr>
      <w:r>
        <w:rPr>
          <w:rFonts w:ascii="Arial" w:hAnsi="Arial" w:cs="Arial"/>
          <w:color w:val="000066"/>
        </w:rPr>
        <w:t xml:space="preserve">Esta política abrange os investimentos pessoais realizados direta ou indiretamente (em seu nome ou de terceiros) pelos administradores (Conselheiros e Diretores), do Banco Alfa de Investimento S.A., e pelos funcionários da área </w:t>
      </w:r>
      <w:r w:rsidRPr="00475BF4">
        <w:rPr>
          <w:rFonts w:ascii="Arial" w:hAnsi="Arial" w:cs="Arial"/>
          <w:i/>
          <w:color w:val="000066"/>
        </w:rPr>
        <w:t xml:space="preserve">Alfa </w:t>
      </w:r>
      <w:r w:rsidRPr="00726D4A">
        <w:rPr>
          <w:rFonts w:ascii="Arial" w:hAnsi="Arial" w:cs="Arial"/>
          <w:i/>
          <w:color w:val="000066"/>
        </w:rPr>
        <w:t>Investments</w:t>
      </w:r>
      <w:r w:rsidRPr="00475BF4">
        <w:rPr>
          <w:rFonts w:ascii="Arial" w:hAnsi="Arial" w:cs="Arial"/>
          <w:i/>
          <w:color w:val="000066"/>
        </w:rPr>
        <w:t>.</w:t>
      </w:r>
    </w:p>
    <w:p w:rsidR="005833D8" w:rsidRDefault="005833D8" w:rsidP="00976956">
      <w:pPr>
        <w:spacing w:after="0" w:line="240" w:lineRule="auto"/>
        <w:jc w:val="both"/>
        <w:rPr>
          <w:rFonts w:ascii="Arial" w:hAnsi="Arial" w:cs="Arial"/>
          <w:color w:val="000066"/>
        </w:rPr>
      </w:pPr>
    </w:p>
    <w:p w:rsidR="00976956" w:rsidRPr="00126E10" w:rsidRDefault="00976956" w:rsidP="00976956">
      <w:pPr>
        <w:spacing w:after="0" w:line="240" w:lineRule="auto"/>
        <w:jc w:val="both"/>
        <w:rPr>
          <w:rFonts w:ascii="Arial" w:hAnsi="Arial" w:cs="Arial"/>
          <w:color w:val="000066"/>
        </w:rPr>
      </w:pPr>
      <w:r>
        <w:rPr>
          <w:rFonts w:ascii="Arial" w:hAnsi="Arial" w:cs="Arial"/>
          <w:color w:val="000066"/>
        </w:rPr>
        <w:t>A política abrange, ainda, os investimentos realizados pelo próprio consultor de valores mobiliários, no caso, o Banco Alfa de Investimento S.A..</w:t>
      </w:r>
    </w:p>
    <w:p w:rsidR="00AB6FE9" w:rsidRPr="00AB6FE9" w:rsidRDefault="00AB6FE9" w:rsidP="00976956">
      <w:pPr>
        <w:spacing w:after="0" w:line="240" w:lineRule="auto"/>
        <w:jc w:val="both"/>
        <w:rPr>
          <w:rFonts w:ascii="Arial" w:hAnsi="Arial" w:cs="Arial"/>
          <w:color w:val="000066"/>
        </w:rPr>
      </w:pPr>
    </w:p>
    <w:p w:rsidR="00AB6FE9" w:rsidRPr="00AB6FE9" w:rsidRDefault="00AB6FE9" w:rsidP="00976956">
      <w:pPr>
        <w:spacing w:after="0" w:line="240" w:lineRule="auto"/>
        <w:jc w:val="both"/>
        <w:rPr>
          <w:rFonts w:ascii="Arial" w:hAnsi="Arial" w:cs="Arial"/>
          <w:color w:val="000066"/>
        </w:rPr>
      </w:pPr>
    </w:p>
    <w:p w:rsidR="00D61C23" w:rsidRPr="00AB6FE9" w:rsidRDefault="00976956" w:rsidP="00976956">
      <w:pPr>
        <w:pStyle w:val="Ttulo1"/>
        <w:numPr>
          <w:ilvl w:val="0"/>
          <w:numId w:val="1"/>
        </w:numPr>
        <w:spacing w:before="0" w:after="0" w:line="240" w:lineRule="auto"/>
        <w:jc w:val="both"/>
        <w:rPr>
          <w:rFonts w:ascii="Arial" w:hAnsi="Arial" w:cs="Arial"/>
          <w:b/>
          <w:color w:val="000066"/>
          <w:sz w:val="22"/>
          <w:szCs w:val="22"/>
        </w:rPr>
      </w:pPr>
      <w:bookmarkStart w:id="5" w:name="_Toc527966422"/>
      <w:r>
        <w:rPr>
          <w:rFonts w:ascii="Arial" w:hAnsi="Arial" w:cs="Arial"/>
          <w:b/>
          <w:color w:val="000066"/>
          <w:sz w:val="22"/>
          <w:szCs w:val="22"/>
        </w:rPr>
        <w:t>Investimentos permitidos sem restrições</w:t>
      </w:r>
      <w:bookmarkEnd w:id="5"/>
    </w:p>
    <w:p w:rsidR="00AB6FE9" w:rsidRPr="00AB6FE9" w:rsidRDefault="00AB6FE9" w:rsidP="00976956">
      <w:pPr>
        <w:spacing w:after="0" w:line="240" w:lineRule="auto"/>
        <w:jc w:val="both"/>
        <w:rPr>
          <w:rFonts w:ascii="Arial" w:hAnsi="Arial" w:cs="Arial"/>
          <w:b/>
          <w:color w:val="000066"/>
        </w:rPr>
      </w:pPr>
    </w:p>
    <w:p w:rsidR="00976956" w:rsidRDefault="00976956" w:rsidP="00976956">
      <w:pPr>
        <w:spacing w:after="0" w:line="240" w:lineRule="auto"/>
        <w:jc w:val="both"/>
        <w:rPr>
          <w:rFonts w:ascii="Arial" w:hAnsi="Arial" w:cs="Arial"/>
          <w:color w:val="000066"/>
        </w:rPr>
      </w:pPr>
      <w:r w:rsidRPr="00486097">
        <w:rPr>
          <w:rFonts w:ascii="Arial" w:hAnsi="Arial" w:cs="Arial"/>
          <w:color w:val="000066"/>
        </w:rPr>
        <w:t xml:space="preserve">Os </w:t>
      </w:r>
      <w:r>
        <w:rPr>
          <w:rFonts w:ascii="Arial" w:hAnsi="Arial" w:cs="Arial"/>
          <w:color w:val="000066"/>
        </w:rPr>
        <w:t>administradores e funcionários poderão investir seus recursos pessoais sem prévia autorização nos seguintes títulos e valores mobiliários:</w:t>
      </w:r>
    </w:p>
    <w:p w:rsidR="00976956" w:rsidRDefault="00976956" w:rsidP="00976956">
      <w:pPr>
        <w:spacing w:after="0" w:line="240" w:lineRule="auto"/>
        <w:jc w:val="both"/>
        <w:rPr>
          <w:rFonts w:ascii="Arial" w:hAnsi="Arial" w:cs="Arial"/>
          <w:color w:val="000066"/>
        </w:rPr>
      </w:pPr>
    </w:p>
    <w:p w:rsidR="00976956" w:rsidRPr="00C718BF" w:rsidRDefault="00976956" w:rsidP="00976956">
      <w:pPr>
        <w:pStyle w:val="PargrafodaLista"/>
        <w:numPr>
          <w:ilvl w:val="0"/>
          <w:numId w:val="9"/>
        </w:numPr>
        <w:spacing w:after="0" w:line="240" w:lineRule="auto"/>
        <w:ind w:left="1134" w:firstLine="0"/>
        <w:jc w:val="both"/>
        <w:rPr>
          <w:rFonts w:ascii="Arial" w:hAnsi="Arial" w:cs="Arial"/>
          <w:b/>
          <w:color w:val="000066"/>
        </w:rPr>
      </w:pPr>
      <w:r w:rsidRPr="00C718BF">
        <w:rPr>
          <w:rFonts w:ascii="Arial" w:hAnsi="Arial" w:cs="Arial"/>
          <w:color w:val="000066"/>
        </w:rPr>
        <w:t>Operações a vista com Certificado de Depósitos Bancários, Letras de Câmbio, Letras de Arrendamento Mercantil, Letras de Crédito Imobiliário, Letras de Crédito Agrícola, Letras Financeiras, Debêntures, Cotas de Fundos de Investimento administrados pelo Banco Alfa de Investimento S.A. e por terceiros.</w:t>
      </w:r>
    </w:p>
    <w:p w:rsidR="00AB6FE9" w:rsidRPr="00AB6FE9" w:rsidRDefault="00AB6FE9" w:rsidP="00976956">
      <w:pPr>
        <w:spacing w:after="0" w:line="240" w:lineRule="auto"/>
        <w:jc w:val="both"/>
        <w:rPr>
          <w:rFonts w:ascii="Arial" w:hAnsi="Arial" w:cs="Arial"/>
          <w:color w:val="000066"/>
        </w:rPr>
      </w:pPr>
    </w:p>
    <w:p w:rsidR="00505C92" w:rsidRPr="00AB6FE9" w:rsidRDefault="00505C92" w:rsidP="00976956">
      <w:pPr>
        <w:spacing w:after="0" w:line="240" w:lineRule="auto"/>
        <w:jc w:val="both"/>
        <w:rPr>
          <w:rFonts w:ascii="Arial" w:hAnsi="Arial" w:cs="Arial"/>
          <w:color w:val="000066"/>
        </w:rPr>
      </w:pPr>
    </w:p>
    <w:p w:rsidR="00976956" w:rsidRDefault="00976956" w:rsidP="00976956">
      <w:pPr>
        <w:pStyle w:val="Ttulo1"/>
        <w:numPr>
          <w:ilvl w:val="0"/>
          <w:numId w:val="1"/>
        </w:numPr>
        <w:spacing w:before="0" w:after="0" w:line="240" w:lineRule="auto"/>
        <w:jc w:val="both"/>
        <w:rPr>
          <w:rFonts w:ascii="Arial" w:hAnsi="Arial" w:cs="Arial"/>
          <w:b/>
          <w:color w:val="000066"/>
          <w:sz w:val="22"/>
          <w:szCs w:val="22"/>
        </w:rPr>
      </w:pPr>
      <w:bookmarkStart w:id="6" w:name="_Toc527966423"/>
      <w:r>
        <w:rPr>
          <w:rFonts w:ascii="Arial" w:hAnsi="Arial" w:cs="Arial"/>
          <w:b/>
          <w:color w:val="000066"/>
          <w:sz w:val="22"/>
          <w:szCs w:val="22"/>
        </w:rPr>
        <w:t>Investimentos permitidos com restrições</w:t>
      </w:r>
      <w:bookmarkEnd w:id="6"/>
    </w:p>
    <w:p w:rsidR="00976956" w:rsidRDefault="00976956" w:rsidP="00976956">
      <w:pPr>
        <w:spacing w:after="0" w:line="240" w:lineRule="auto"/>
      </w:pPr>
    </w:p>
    <w:p w:rsidR="00976956" w:rsidRDefault="00976956" w:rsidP="00976956">
      <w:pPr>
        <w:pStyle w:val="Default"/>
        <w:jc w:val="both"/>
        <w:rPr>
          <w:rFonts w:ascii="Arial" w:hAnsi="Arial" w:cs="Arial"/>
          <w:snapToGrid w:val="0"/>
          <w:color w:val="000066"/>
          <w:sz w:val="22"/>
          <w:szCs w:val="22"/>
        </w:rPr>
      </w:pPr>
      <w:r w:rsidRPr="00B12827">
        <w:rPr>
          <w:rFonts w:ascii="Arial" w:hAnsi="Arial" w:cs="Arial"/>
          <w:snapToGrid w:val="0"/>
          <w:color w:val="000066"/>
          <w:sz w:val="22"/>
          <w:szCs w:val="22"/>
        </w:rPr>
        <w:t>O</w:t>
      </w:r>
      <w:r w:rsidRPr="00FC5E3A">
        <w:rPr>
          <w:rFonts w:ascii="Arial" w:hAnsi="Arial" w:cs="Arial"/>
          <w:snapToGrid w:val="0"/>
          <w:color w:val="000066"/>
          <w:sz w:val="22"/>
          <w:szCs w:val="22"/>
        </w:rPr>
        <w:t>s</w:t>
      </w:r>
      <w:r w:rsidRPr="00656572">
        <w:rPr>
          <w:rFonts w:ascii="Arial" w:hAnsi="Arial" w:cs="Arial"/>
          <w:b/>
          <w:snapToGrid w:val="0"/>
          <w:color w:val="000066"/>
          <w:sz w:val="22"/>
          <w:szCs w:val="22"/>
        </w:rPr>
        <w:t xml:space="preserve"> </w:t>
      </w:r>
      <w:r>
        <w:rPr>
          <w:rFonts w:ascii="Arial" w:hAnsi="Arial" w:cs="Arial"/>
          <w:snapToGrid w:val="0"/>
          <w:color w:val="000066"/>
          <w:sz w:val="22"/>
          <w:szCs w:val="22"/>
        </w:rPr>
        <w:t>administradores</w:t>
      </w:r>
      <w:r w:rsidRPr="00D643BD">
        <w:rPr>
          <w:rFonts w:ascii="Arial" w:hAnsi="Arial" w:cs="Arial"/>
          <w:snapToGrid w:val="0"/>
          <w:color w:val="000066"/>
          <w:sz w:val="22"/>
          <w:szCs w:val="22"/>
        </w:rPr>
        <w:t xml:space="preserve"> e funcionários poderão investir seus recursos pessoais nos ativos abaixo com as seguintes restrições:</w:t>
      </w:r>
    </w:p>
    <w:p w:rsidR="00976956" w:rsidRPr="00D643BD" w:rsidRDefault="00976956" w:rsidP="00976956">
      <w:pPr>
        <w:pStyle w:val="Default"/>
        <w:ind w:firstLine="360"/>
        <w:jc w:val="both"/>
        <w:rPr>
          <w:rFonts w:ascii="Arial" w:hAnsi="Arial" w:cs="Arial"/>
          <w:snapToGrid w:val="0"/>
          <w:color w:val="000066"/>
          <w:sz w:val="22"/>
          <w:szCs w:val="22"/>
        </w:rPr>
      </w:pPr>
    </w:p>
    <w:p w:rsidR="00976956" w:rsidRPr="005F7919" w:rsidRDefault="00976956" w:rsidP="00976956">
      <w:pPr>
        <w:pStyle w:val="Default"/>
        <w:numPr>
          <w:ilvl w:val="0"/>
          <w:numId w:val="10"/>
        </w:numPr>
        <w:jc w:val="both"/>
        <w:rPr>
          <w:rFonts w:ascii="Arial" w:hAnsi="Arial" w:cs="Arial"/>
          <w:color w:val="000066"/>
          <w:sz w:val="22"/>
          <w:szCs w:val="22"/>
        </w:rPr>
      </w:pPr>
      <w:r w:rsidRPr="00226E33">
        <w:rPr>
          <w:rFonts w:ascii="Arial" w:hAnsi="Arial" w:cs="Arial"/>
          <w:snapToGrid w:val="0"/>
          <w:color w:val="000066"/>
          <w:sz w:val="22"/>
          <w:szCs w:val="22"/>
        </w:rPr>
        <w:t xml:space="preserve">Ações: somente através do </w:t>
      </w:r>
      <w:r w:rsidRPr="00226E33">
        <w:rPr>
          <w:rFonts w:ascii="Arial" w:hAnsi="Arial" w:cs="Arial"/>
          <w:i/>
          <w:snapToGrid w:val="0"/>
          <w:color w:val="000066"/>
          <w:sz w:val="22"/>
          <w:szCs w:val="22"/>
        </w:rPr>
        <w:t>Home Broker</w:t>
      </w:r>
      <w:r w:rsidRPr="00226E33">
        <w:rPr>
          <w:rFonts w:ascii="Arial" w:hAnsi="Arial" w:cs="Arial"/>
          <w:snapToGrid w:val="0"/>
          <w:color w:val="000066"/>
          <w:sz w:val="22"/>
          <w:szCs w:val="22"/>
        </w:rPr>
        <w:t xml:space="preserve"> da Alfa Corretora com permanência mínima em carteira por 15 (quinze) dias, não sendo admitidas operações do tipo </w:t>
      </w:r>
      <w:r w:rsidRPr="00621082">
        <w:rPr>
          <w:rFonts w:ascii="Arial" w:hAnsi="Arial" w:cs="Arial"/>
          <w:i/>
          <w:snapToGrid w:val="0"/>
          <w:color w:val="000066"/>
          <w:sz w:val="22"/>
          <w:szCs w:val="22"/>
        </w:rPr>
        <w:t>day trade</w:t>
      </w:r>
      <w:r w:rsidRPr="00621082">
        <w:rPr>
          <w:rFonts w:ascii="Arial" w:hAnsi="Arial" w:cs="Arial"/>
          <w:snapToGrid w:val="0"/>
          <w:color w:val="000066"/>
          <w:sz w:val="22"/>
          <w:szCs w:val="22"/>
        </w:rPr>
        <w:t xml:space="preserve"> ou com posições descobertas</w:t>
      </w:r>
      <w:r w:rsidRPr="005F7919">
        <w:rPr>
          <w:rFonts w:ascii="Arial" w:hAnsi="Arial" w:cs="Arial"/>
          <w:snapToGrid w:val="0"/>
          <w:color w:val="000066"/>
          <w:sz w:val="22"/>
          <w:szCs w:val="22"/>
        </w:rPr>
        <w:t>.</w:t>
      </w:r>
      <w:r w:rsidRPr="005F7919" w:rsidDel="00B12827">
        <w:rPr>
          <w:rFonts w:ascii="Arial" w:hAnsi="Arial" w:cs="Arial"/>
          <w:snapToGrid w:val="0"/>
          <w:color w:val="000066"/>
          <w:sz w:val="22"/>
          <w:szCs w:val="22"/>
        </w:rPr>
        <w:t xml:space="preserve"> </w:t>
      </w:r>
    </w:p>
    <w:p w:rsidR="00976956" w:rsidRDefault="00976956" w:rsidP="00976956">
      <w:pPr>
        <w:pStyle w:val="Default"/>
        <w:ind w:firstLine="360"/>
        <w:jc w:val="both"/>
        <w:rPr>
          <w:rFonts w:ascii="Arial" w:hAnsi="Arial" w:cs="Arial"/>
          <w:snapToGrid w:val="0"/>
          <w:color w:val="000066"/>
          <w:sz w:val="22"/>
          <w:szCs w:val="22"/>
        </w:rPr>
      </w:pPr>
    </w:p>
    <w:p w:rsidR="00976956" w:rsidRPr="00D643BD" w:rsidRDefault="00976956" w:rsidP="00976956">
      <w:pPr>
        <w:pStyle w:val="Default"/>
        <w:jc w:val="both"/>
        <w:rPr>
          <w:rFonts w:ascii="Arial" w:hAnsi="Arial" w:cs="Arial"/>
          <w:snapToGrid w:val="0"/>
          <w:color w:val="000066"/>
          <w:sz w:val="22"/>
          <w:szCs w:val="22"/>
        </w:rPr>
      </w:pPr>
      <w:r>
        <w:rPr>
          <w:rFonts w:ascii="Arial" w:hAnsi="Arial" w:cs="Arial"/>
          <w:snapToGrid w:val="0"/>
          <w:color w:val="000066"/>
          <w:sz w:val="22"/>
          <w:szCs w:val="22"/>
        </w:rPr>
        <w:t>É</w:t>
      </w:r>
      <w:r w:rsidRPr="00D643BD">
        <w:rPr>
          <w:rFonts w:ascii="Arial" w:hAnsi="Arial" w:cs="Arial"/>
          <w:snapToGrid w:val="0"/>
          <w:color w:val="000066"/>
          <w:sz w:val="22"/>
          <w:szCs w:val="22"/>
        </w:rPr>
        <w:t xml:space="preserve"> expressamente proibido utilizar quaisquer outros meios, </w:t>
      </w:r>
      <w:r>
        <w:rPr>
          <w:rFonts w:ascii="Arial" w:hAnsi="Arial" w:cs="Arial"/>
          <w:snapToGrid w:val="0"/>
          <w:color w:val="000066"/>
          <w:sz w:val="22"/>
          <w:szCs w:val="22"/>
        </w:rPr>
        <w:t>i</w:t>
      </w:r>
      <w:r w:rsidRPr="00D643BD">
        <w:rPr>
          <w:rFonts w:ascii="Arial" w:hAnsi="Arial" w:cs="Arial"/>
          <w:snapToGrid w:val="0"/>
          <w:color w:val="000066"/>
          <w:sz w:val="22"/>
          <w:szCs w:val="22"/>
        </w:rPr>
        <w:t>ncluindo os telefones celulares, internet e outros aparelhos que permitam intercomunicação pessoal para efetuar as operações.</w:t>
      </w:r>
    </w:p>
    <w:p w:rsidR="00976956" w:rsidRDefault="00976956" w:rsidP="00976956">
      <w:pPr>
        <w:spacing w:after="0" w:line="240" w:lineRule="auto"/>
        <w:jc w:val="both"/>
        <w:rPr>
          <w:rFonts w:ascii="Arial" w:hAnsi="Arial" w:cs="Arial"/>
          <w:color w:val="000066"/>
        </w:rPr>
      </w:pPr>
    </w:p>
    <w:p w:rsidR="00976956" w:rsidRPr="00D643BD" w:rsidRDefault="00976956" w:rsidP="00976956">
      <w:pPr>
        <w:pStyle w:val="Default"/>
        <w:jc w:val="both"/>
        <w:rPr>
          <w:rFonts w:ascii="Arial" w:hAnsi="Arial" w:cs="Arial"/>
          <w:snapToGrid w:val="0"/>
          <w:color w:val="000066"/>
          <w:sz w:val="22"/>
          <w:szCs w:val="22"/>
        </w:rPr>
      </w:pPr>
      <w:r w:rsidRPr="00D643BD">
        <w:rPr>
          <w:rFonts w:ascii="Arial" w:hAnsi="Arial" w:cs="Arial"/>
          <w:snapToGrid w:val="0"/>
          <w:color w:val="000066"/>
          <w:sz w:val="22"/>
          <w:szCs w:val="22"/>
        </w:rPr>
        <w:t xml:space="preserve">Excepcionalmente, os interessados poderão solicitar ao Diretor de </w:t>
      </w:r>
      <w:r w:rsidRPr="004261EA">
        <w:rPr>
          <w:rFonts w:ascii="Arial" w:hAnsi="Arial" w:cs="Arial"/>
          <w:i/>
          <w:snapToGrid w:val="0"/>
          <w:color w:val="000066"/>
          <w:sz w:val="22"/>
          <w:szCs w:val="22"/>
        </w:rPr>
        <w:t>Compliance</w:t>
      </w:r>
      <w:r>
        <w:rPr>
          <w:rFonts w:ascii="Arial" w:hAnsi="Arial" w:cs="Arial"/>
          <w:snapToGrid w:val="0"/>
          <w:color w:val="000066"/>
          <w:sz w:val="22"/>
          <w:szCs w:val="22"/>
        </w:rPr>
        <w:t>,</w:t>
      </w:r>
      <w:r w:rsidRPr="00D643BD">
        <w:rPr>
          <w:rFonts w:ascii="Arial" w:hAnsi="Arial" w:cs="Arial"/>
          <w:snapToGrid w:val="0"/>
          <w:color w:val="000066"/>
          <w:sz w:val="22"/>
          <w:szCs w:val="22"/>
        </w:rPr>
        <w:t xml:space="preserve"> autorização prévia para realizar operações não previstas nos itens anteriores, inclusive quanto a investimentos em instituições externas ao Alfa. Caberá ao Diretor verificar a ausência de conflitos de interesse, podendo ainda aprovar de forma condicional e solicitar providências adicionais que minimizem os riscos de conflitos de interesse.</w:t>
      </w:r>
    </w:p>
    <w:p w:rsidR="00C41241" w:rsidRDefault="00C41241" w:rsidP="00976956">
      <w:pPr>
        <w:pStyle w:val="Default"/>
        <w:jc w:val="both"/>
        <w:rPr>
          <w:rFonts w:ascii="Arial" w:hAnsi="Arial" w:cs="Arial"/>
          <w:snapToGrid w:val="0"/>
          <w:color w:val="000066"/>
          <w:sz w:val="22"/>
          <w:szCs w:val="22"/>
        </w:rPr>
      </w:pPr>
    </w:p>
    <w:p w:rsidR="00976956" w:rsidRPr="00D643BD" w:rsidRDefault="00976956" w:rsidP="00976956">
      <w:pPr>
        <w:pStyle w:val="Default"/>
        <w:jc w:val="both"/>
        <w:rPr>
          <w:rFonts w:ascii="Arial" w:hAnsi="Arial" w:cs="Arial"/>
          <w:snapToGrid w:val="0"/>
          <w:color w:val="000066"/>
          <w:sz w:val="22"/>
          <w:szCs w:val="22"/>
        </w:rPr>
      </w:pPr>
      <w:r w:rsidRPr="00D643BD">
        <w:rPr>
          <w:rFonts w:ascii="Arial" w:hAnsi="Arial" w:cs="Arial"/>
          <w:snapToGrid w:val="0"/>
          <w:color w:val="000066"/>
          <w:sz w:val="22"/>
          <w:szCs w:val="22"/>
        </w:rPr>
        <w:t xml:space="preserve">As operações em vigor na data de </w:t>
      </w:r>
      <w:r>
        <w:rPr>
          <w:rFonts w:ascii="Arial" w:hAnsi="Arial" w:cs="Arial"/>
          <w:snapToGrid w:val="0"/>
          <w:color w:val="000066"/>
          <w:sz w:val="22"/>
          <w:szCs w:val="22"/>
        </w:rPr>
        <w:t>contratação</w:t>
      </w:r>
      <w:r w:rsidRPr="00D643BD">
        <w:rPr>
          <w:rFonts w:ascii="Arial" w:hAnsi="Arial" w:cs="Arial"/>
          <w:snapToGrid w:val="0"/>
          <w:color w:val="000066"/>
          <w:sz w:val="22"/>
          <w:szCs w:val="22"/>
        </w:rPr>
        <w:t xml:space="preserve"> do funcionário deverão ser finalizadas preferencialmente em até 3 (três) meses a contar da sua </w:t>
      </w:r>
      <w:r>
        <w:rPr>
          <w:rFonts w:ascii="Arial" w:hAnsi="Arial" w:cs="Arial"/>
          <w:snapToGrid w:val="0"/>
          <w:color w:val="000066"/>
          <w:sz w:val="22"/>
          <w:szCs w:val="22"/>
        </w:rPr>
        <w:t>contratação</w:t>
      </w:r>
      <w:r w:rsidRPr="00D643BD">
        <w:rPr>
          <w:rFonts w:ascii="Arial" w:hAnsi="Arial" w:cs="Arial"/>
          <w:snapToGrid w:val="0"/>
          <w:color w:val="000066"/>
          <w:sz w:val="22"/>
          <w:szCs w:val="22"/>
        </w:rPr>
        <w:t xml:space="preserve">. Os casos excepcionais deverão ser reportados ao Diretor de </w:t>
      </w:r>
      <w:r w:rsidRPr="004261EA">
        <w:rPr>
          <w:rFonts w:ascii="Arial" w:hAnsi="Arial" w:cs="Arial"/>
          <w:i/>
          <w:snapToGrid w:val="0"/>
          <w:color w:val="000066"/>
          <w:sz w:val="22"/>
          <w:szCs w:val="22"/>
        </w:rPr>
        <w:t>Compliance</w:t>
      </w:r>
      <w:r w:rsidRPr="00D643BD">
        <w:rPr>
          <w:rFonts w:ascii="Arial" w:hAnsi="Arial" w:cs="Arial"/>
          <w:snapToGrid w:val="0"/>
          <w:color w:val="000066"/>
          <w:sz w:val="22"/>
          <w:szCs w:val="22"/>
        </w:rPr>
        <w:t xml:space="preserve"> que avaliará a questão podendo para tanto recorrer a outros diretores para a definição do assunto.</w:t>
      </w:r>
    </w:p>
    <w:p w:rsidR="00976956" w:rsidRDefault="00976956" w:rsidP="00976956">
      <w:pPr>
        <w:spacing w:after="0" w:line="240" w:lineRule="auto"/>
        <w:jc w:val="both"/>
        <w:rPr>
          <w:rFonts w:ascii="Arial" w:hAnsi="Arial" w:cs="Arial"/>
          <w:b/>
          <w:color w:val="000066"/>
        </w:rPr>
      </w:pPr>
      <w:r>
        <w:rPr>
          <w:rFonts w:ascii="Arial" w:hAnsi="Arial" w:cs="Arial"/>
          <w:color w:val="000066"/>
        </w:rPr>
        <w:lastRenderedPageBreak/>
        <w:t>É vedado ao Consultor de Valores Mobiliários privilegiar seus próprios interesses ou de pessoas a ele vinculadas em detrimento dos interesses de seus clientes.</w:t>
      </w:r>
    </w:p>
    <w:p w:rsidR="00976956" w:rsidRDefault="00976956" w:rsidP="00976956">
      <w:pPr>
        <w:spacing w:after="0" w:line="240" w:lineRule="auto"/>
      </w:pPr>
    </w:p>
    <w:p w:rsidR="00C41241" w:rsidRPr="00976956" w:rsidRDefault="00C41241" w:rsidP="00976956">
      <w:pPr>
        <w:spacing w:after="0" w:line="240" w:lineRule="auto"/>
      </w:pPr>
    </w:p>
    <w:p w:rsidR="00976956" w:rsidRDefault="00976956" w:rsidP="00976956">
      <w:pPr>
        <w:pStyle w:val="Ttulo1"/>
        <w:numPr>
          <w:ilvl w:val="0"/>
          <w:numId w:val="1"/>
        </w:numPr>
        <w:spacing w:before="0" w:after="0" w:line="240" w:lineRule="auto"/>
        <w:jc w:val="both"/>
        <w:rPr>
          <w:rFonts w:ascii="Arial" w:hAnsi="Arial" w:cs="Arial"/>
          <w:b/>
          <w:color w:val="000066"/>
          <w:sz w:val="22"/>
          <w:szCs w:val="22"/>
        </w:rPr>
      </w:pPr>
      <w:bookmarkStart w:id="7" w:name="_Toc527966424"/>
      <w:r>
        <w:rPr>
          <w:rFonts w:ascii="Arial" w:hAnsi="Arial" w:cs="Arial"/>
          <w:b/>
          <w:color w:val="000066"/>
          <w:sz w:val="22"/>
          <w:szCs w:val="22"/>
        </w:rPr>
        <w:t>Investimentos da carteira própria do consultor</w:t>
      </w:r>
      <w:bookmarkEnd w:id="7"/>
    </w:p>
    <w:p w:rsidR="00976956" w:rsidRDefault="00976956" w:rsidP="00976956">
      <w:pPr>
        <w:spacing w:after="0" w:line="240" w:lineRule="auto"/>
      </w:pPr>
    </w:p>
    <w:p w:rsidR="00976956" w:rsidRDefault="00976956" w:rsidP="00976956">
      <w:pPr>
        <w:spacing w:after="0" w:line="240" w:lineRule="auto"/>
        <w:jc w:val="both"/>
        <w:rPr>
          <w:rFonts w:ascii="Arial" w:hAnsi="Arial" w:cs="Arial"/>
          <w:color w:val="000066"/>
        </w:rPr>
      </w:pPr>
      <w:r>
        <w:rPr>
          <w:rFonts w:ascii="Arial" w:hAnsi="Arial" w:cs="Arial"/>
          <w:color w:val="000066"/>
        </w:rPr>
        <w:t>A Tesouraria do Alfa tem como atribuições básicas a aplicação do capital próprio, administração do caixa e da liquidez, além de gerenciar a carteira de investimentos nos mais diversos mercados, inclusive derivativos. O controle dessas aplicações é realizado por sistema específico, que permite o acompanhamento do risco associado a cada um deles e ainda, os limites atribuídos a cada investimento. Não existem restrições prévias de investimento no estatuto do consultor de valores mobiliários ou nas suas políticas, sempre respeitando os limites impostos pelos comitês institucionais.</w:t>
      </w:r>
    </w:p>
    <w:p w:rsidR="00976956" w:rsidRDefault="00976956" w:rsidP="00976956">
      <w:pPr>
        <w:spacing w:after="0" w:line="240" w:lineRule="auto"/>
      </w:pPr>
    </w:p>
    <w:p w:rsidR="00976956" w:rsidRPr="00976956" w:rsidRDefault="00976956" w:rsidP="00976956">
      <w:pPr>
        <w:spacing w:after="0" w:line="240" w:lineRule="auto"/>
      </w:pPr>
    </w:p>
    <w:p w:rsidR="004531D4" w:rsidRPr="00AB6FE9" w:rsidRDefault="00AB3D85" w:rsidP="00976956">
      <w:pPr>
        <w:pStyle w:val="Ttulo1"/>
        <w:numPr>
          <w:ilvl w:val="0"/>
          <w:numId w:val="1"/>
        </w:numPr>
        <w:spacing w:before="0" w:after="0" w:line="240" w:lineRule="auto"/>
        <w:jc w:val="both"/>
        <w:rPr>
          <w:rFonts w:ascii="Arial" w:hAnsi="Arial" w:cs="Arial"/>
          <w:b/>
          <w:color w:val="000066"/>
          <w:sz w:val="22"/>
          <w:szCs w:val="22"/>
        </w:rPr>
      </w:pPr>
      <w:bookmarkStart w:id="8" w:name="_Toc527966425"/>
      <w:r>
        <w:rPr>
          <w:rFonts w:ascii="Arial" w:hAnsi="Arial" w:cs="Arial"/>
          <w:b/>
          <w:color w:val="000066"/>
          <w:sz w:val="22"/>
          <w:szCs w:val="22"/>
        </w:rPr>
        <w:t>Monitoramento e c</w:t>
      </w:r>
      <w:r w:rsidR="00976956">
        <w:rPr>
          <w:rFonts w:ascii="Arial" w:hAnsi="Arial" w:cs="Arial"/>
          <w:b/>
          <w:color w:val="000066"/>
          <w:sz w:val="22"/>
          <w:szCs w:val="22"/>
        </w:rPr>
        <w:t>ontroles</w:t>
      </w:r>
      <w:bookmarkEnd w:id="8"/>
    </w:p>
    <w:p w:rsidR="004531D4" w:rsidRDefault="004531D4" w:rsidP="00976956">
      <w:pPr>
        <w:spacing w:after="0" w:line="240" w:lineRule="auto"/>
        <w:jc w:val="both"/>
        <w:rPr>
          <w:rFonts w:ascii="Arial" w:hAnsi="Arial" w:cs="Arial"/>
          <w:color w:val="000066"/>
        </w:rPr>
      </w:pPr>
    </w:p>
    <w:p w:rsidR="00976956" w:rsidRDefault="00976956" w:rsidP="00976956">
      <w:pPr>
        <w:spacing w:after="0" w:line="240" w:lineRule="auto"/>
        <w:jc w:val="both"/>
        <w:rPr>
          <w:rFonts w:ascii="Arial" w:hAnsi="Arial" w:cs="Arial"/>
          <w:color w:val="000066"/>
        </w:rPr>
      </w:pPr>
      <w:r>
        <w:rPr>
          <w:rFonts w:ascii="Arial" w:hAnsi="Arial" w:cs="Arial"/>
          <w:color w:val="000066"/>
        </w:rPr>
        <w:t>Caberá à área de Compliance monitorar e apurar os casos de violação desta Política, comunicando-os à Diretoria de Compliance.</w:t>
      </w:r>
    </w:p>
    <w:p w:rsidR="00976956" w:rsidRDefault="00976956" w:rsidP="00976956">
      <w:pPr>
        <w:spacing w:after="0" w:line="240" w:lineRule="auto"/>
        <w:jc w:val="both"/>
        <w:rPr>
          <w:rFonts w:ascii="Arial" w:hAnsi="Arial" w:cs="Arial"/>
          <w:color w:val="000066"/>
        </w:rPr>
      </w:pPr>
    </w:p>
    <w:p w:rsidR="00976956" w:rsidRDefault="00976956" w:rsidP="00976956">
      <w:pPr>
        <w:spacing w:after="0" w:line="240" w:lineRule="auto"/>
        <w:jc w:val="both"/>
        <w:rPr>
          <w:rFonts w:ascii="Arial" w:hAnsi="Arial" w:cs="Arial"/>
          <w:color w:val="000066"/>
        </w:rPr>
      </w:pPr>
      <w:r>
        <w:rPr>
          <w:rFonts w:ascii="Arial" w:hAnsi="Arial" w:cs="Arial"/>
          <w:color w:val="000066"/>
        </w:rPr>
        <w:t>O assunto também será objeto de verificação nos trabalhos de auditoria.</w:t>
      </w:r>
    </w:p>
    <w:p w:rsidR="00976956" w:rsidRDefault="00976956" w:rsidP="00976956">
      <w:pPr>
        <w:pStyle w:val="Default"/>
        <w:jc w:val="both"/>
        <w:rPr>
          <w:rFonts w:ascii="Arial" w:hAnsi="Arial" w:cs="Arial"/>
          <w:snapToGrid w:val="0"/>
          <w:color w:val="000066"/>
          <w:sz w:val="22"/>
          <w:szCs w:val="22"/>
        </w:rPr>
      </w:pPr>
    </w:p>
    <w:p w:rsidR="00976956" w:rsidRPr="00D643BD" w:rsidRDefault="00976956" w:rsidP="00976956">
      <w:pPr>
        <w:pStyle w:val="Default"/>
        <w:jc w:val="both"/>
        <w:rPr>
          <w:rFonts w:ascii="Arial" w:hAnsi="Arial" w:cs="Arial"/>
          <w:snapToGrid w:val="0"/>
          <w:color w:val="000066"/>
          <w:sz w:val="22"/>
          <w:szCs w:val="22"/>
        </w:rPr>
      </w:pPr>
      <w:r w:rsidRPr="00D643BD">
        <w:rPr>
          <w:rFonts w:ascii="Arial" w:hAnsi="Arial" w:cs="Arial"/>
          <w:snapToGrid w:val="0"/>
          <w:color w:val="000066"/>
          <w:sz w:val="22"/>
          <w:szCs w:val="22"/>
        </w:rPr>
        <w:t xml:space="preserve">Somente o Diretor de </w:t>
      </w:r>
      <w:r w:rsidRPr="004261EA">
        <w:rPr>
          <w:rFonts w:ascii="Arial" w:hAnsi="Arial" w:cs="Arial"/>
          <w:i/>
          <w:snapToGrid w:val="0"/>
          <w:color w:val="000066"/>
          <w:sz w:val="22"/>
          <w:szCs w:val="22"/>
        </w:rPr>
        <w:t>Compliance</w:t>
      </w:r>
      <w:r w:rsidRPr="00D643BD">
        <w:rPr>
          <w:rFonts w:ascii="Arial" w:hAnsi="Arial" w:cs="Arial"/>
          <w:snapToGrid w:val="0"/>
          <w:color w:val="000066"/>
          <w:sz w:val="22"/>
          <w:szCs w:val="22"/>
        </w:rPr>
        <w:t xml:space="preserve"> e o Conselho de Administração </w:t>
      </w:r>
      <w:r>
        <w:rPr>
          <w:rFonts w:ascii="Arial" w:hAnsi="Arial" w:cs="Arial"/>
          <w:snapToGrid w:val="0"/>
          <w:color w:val="000066"/>
          <w:sz w:val="22"/>
          <w:szCs w:val="22"/>
        </w:rPr>
        <w:t xml:space="preserve">do Alfa </w:t>
      </w:r>
      <w:r w:rsidRPr="00D643BD">
        <w:rPr>
          <w:rFonts w:ascii="Arial" w:hAnsi="Arial" w:cs="Arial"/>
          <w:snapToGrid w:val="0"/>
          <w:color w:val="000066"/>
          <w:sz w:val="22"/>
          <w:szCs w:val="22"/>
        </w:rPr>
        <w:t>poderão ter acesso às informações prestadas</w:t>
      </w:r>
      <w:r>
        <w:rPr>
          <w:rFonts w:ascii="Arial" w:hAnsi="Arial" w:cs="Arial"/>
          <w:snapToGrid w:val="0"/>
          <w:color w:val="000066"/>
          <w:sz w:val="22"/>
          <w:szCs w:val="22"/>
        </w:rPr>
        <w:t xml:space="preserve"> por aqueles abrangidos por esta Política</w:t>
      </w:r>
      <w:r w:rsidRPr="00D643BD">
        <w:rPr>
          <w:rFonts w:ascii="Arial" w:hAnsi="Arial" w:cs="Arial"/>
          <w:snapToGrid w:val="0"/>
          <w:color w:val="000066"/>
          <w:sz w:val="22"/>
          <w:szCs w:val="22"/>
        </w:rPr>
        <w:t>.</w:t>
      </w:r>
    </w:p>
    <w:p w:rsidR="00976956" w:rsidRDefault="00976956" w:rsidP="00976956">
      <w:pPr>
        <w:pStyle w:val="Default"/>
        <w:jc w:val="both"/>
        <w:rPr>
          <w:rFonts w:ascii="Arial" w:hAnsi="Arial" w:cs="Arial"/>
          <w:snapToGrid w:val="0"/>
          <w:color w:val="000066"/>
          <w:sz w:val="22"/>
          <w:szCs w:val="22"/>
        </w:rPr>
      </w:pPr>
    </w:p>
    <w:p w:rsidR="00976956" w:rsidRPr="00976956" w:rsidRDefault="00976956" w:rsidP="00976956">
      <w:pPr>
        <w:pStyle w:val="Default"/>
        <w:jc w:val="both"/>
        <w:rPr>
          <w:rFonts w:ascii="Arial" w:hAnsi="Arial" w:cs="Arial"/>
          <w:snapToGrid w:val="0"/>
          <w:color w:val="000066"/>
          <w:sz w:val="22"/>
          <w:szCs w:val="22"/>
        </w:rPr>
      </w:pPr>
      <w:r w:rsidRPr="00D643BD">
        <w:rPr>
          <w:rFonts w:ascii="Arial" w:hAnsi="Arial" w:cs="Arial"/>
          <w:snapToGrid w:val="0"/>
          <w:color w:val="000066"/>
          <w:sz w:val="22"/>
          <w:szCs w:val="22"/>
        </w:rPr>
        <w:t>A presente Política deverá ser revisada no mínimo anualmente.</w:t>
      </w:r>
    </w:p>
    <w:sectPr w:rsidR="00976956" w:rsidRPr="00976956" w:rsidSect="00A50865">
      <w:headerReference w:type="default" r:id="rId9"/>
      <w:footerReference w:type="default" r:id="rId10"/>
      <w:pgSz w:w="11906" w:h="16838"/>
      <w:pgMar w:top="1417" w:right="1416"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B7" w:rsidRDefault="001069B7" w:rsidP="00E10F2A">
      <w:pPr>
        <w:spacing w:after="0" w:line="240" w:lineRule="auto"/>
      </w:pPr>
      <w:r>
        <w:separator/>
      </w:r>
    </w:p>
  </w:endnote>
  <w:endnote w:type="continuationSeparator" w:id="0">
    <w:p w:rsidR="001069B7" w:rsidRDefault="001069B7" w:rsidP="00E1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AGLE Y+ Trajan">
    <w:altName w:val="UAGLE Y+ Traj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D5" w:rsidRPr="00CF63D5" w:rsidRDefault="00976956" w:rsidP="00E10F2A">
    <w:pPr>
      <w:pStyle w:val="Rodap"/>
      <w:rPr>
        <w:rFonts w:ascii="Arial" w:hAnsi="Arial" w:cs="Arial"/>
        <w:color w:val="000066"/>
        <w:sz w:val="18"/>
        <w:szCs w:val="18"/>
      </w:rPr>
    </w:pPr>
    <w:r>
      <w:rPr>
        <w:rFonts w:ascii="Arial" w:hAnsi="Arial" w:cs="Arial"/>
        <w:color w:val="000066"/>
        <w:sz w:val="18"/>
        <w:szCs w:val="18"/>
      </w:rPr>
      <w:t>Política de Negociação</w:t>
    </w:r>
    <w:r w:rsidR="00A50865">
      <w:rPr>
        <w:rFonts w:ascii="Arial" w:hAnsi="Arial" w:cs="Arial"/>
        <w:color w:val="000066"/>
        <w:sz w:val="18"/>
        <w:szCs w:val="18"/>
      </w:rPr>
      <w:t xml:space="preserve"> de Valores Mobiliários</w:t>
    </w:r>
    <w:r>
      <w:rPr>
        <w:rFonts w:ascii="Arial" w:hAnsi="Arial" w:cs="Arial"/>
        <w:color w:val="000066"/>
        <w:sz w:val="18"/>
        <w:szCs w:val="18"/>
      </w:rPr>
      <w:t xml:space="preserve"> – Instrução CVM 592                           </w:t>
    </w:r>
    <w:r w:rsidR="00A50865">
      <w:rPr>
        <w:rFonts w:ascii="Arial" w:hAnsi="Arial" w:cs="Arial"/>
        <w:color w:val="000066"/>
        <w:sz w:val="18"/>
        <w:szCs w:val="18"/>
      </w:rPr>
      <w:t xml:space="preserve">                                    </w:t>
    </w:r>
    <w:r w:rsidR="00E413DE" w:rsidRPr="00CF63D5">
      <w:rPr>
        <w:rFonts w:ascii="Arial" w:hAnsi="Arial" w:cs="Arial"/>
        <w:color w:val="000066"/>
        <w:sz w:val="18"/>
        <w:szCs w:val="18"/>
      </w:rPr>
      <w:fldChar w:fldCharType="begin"/>
    </w:r>
    <w:r w:rsidR="00CF63D5" w:rsidRPr="00CF63D5">
      <w:rPr>
        <w:rFonts w:ascii="Arial" w:hAnsi="Arial" w:cs="Arial"/>
        <w:color w:val="000066"/>
        <w:sz w:val="18"/>
        <w:szCs w:val="18"/>
      </w:rPr>
      <w:instrText>PAGE   \* MERGEFORMAT</w:instrText>
    </w:r>
    <w:r w:rsidR="00E413DE" w:rsidRPr="00CF63D5">
      <w:rPr>
        <w:rFonts w:ascii="Arial" w:hAnsi="Arial" w:cs="Arial"/>
        <w:color w:val="000066"/>
        <w:sz w:val="18"/>
        <w:szCs w:val="18"/>
      </w:rPr>
      <w:fldChar w:fldCharType="separate"/>
    </w:r>
    <w:r w:rsidR="00356519">
      <w:rPr>
        <w:rFonts w:ascii="Arial" w:hAnsi="Arial" w:cs="Arial"/>
        <w:noProof/>
        <w:color w:val="000066"/>
        <w:sz w:val="18"/>
        <w:szCs w:val="18"/>
      </w:rPr>
      <w:t>1</w:t>
    </w:r>
    <w:r w:rsidR="00E413DE" w:rsidRPr="00CF63D5">
      <w:rPr>
        <w:rFonts w:ascii="Arial" w:hAnsi="Arial" w:cs="Arial"/>
        <w:color w:val="000066"/>
        <w:sz w:val="18"/>
        <w:szCs w:val="18"/>
      </w:rPr>
      <w:fldChar w:fldCharType="end"/>
    </w:r>
  </w:p>
  <w:p w:rsidR="00CF63D5" w:rsidRDefault="00CF63D5">
    <w:pPr>
      <w:pStyle w:val="Rodap"/>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B7" w:rsidRDefault="001069B7" w:rsidP="00E10F2A">
      <w:pPr>
        <w:spacing w:after="0" w:line="240" w:lineRule="auto"/>
      </w:pPr>
      <w:r>
        <w:separator/>
      </w:r>
    </w:p>
  </w:footnote>
  <w:footnote w:type="continuationSeparator" w:id="0">
    <w:p w:rsidR="001069B7" w:rsidRDefault="001069B7" w:rsidP="00E1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D5" w:rsidRDefault="00CF63D5">
    <w:pPr>
      <w:pStyle w:val="Cabealho"/>
    </w:pPr>
  </w:p>
  <w:p w:rsidR="00CF63D5" w:rsidRDefault="00CF63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D4F"/>
    <w:multiLevelType w:val="hybridMultilevel"/>
    <w:tmpl w:val="80885974"/>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1E1D7602"/>
    <w:multiLevelType w:val="hybridMultilevel"/>
    <w:tmpl w:val="01E4CF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F142F0"/>
    <w:multiLevelType w:val="hybridMultilevel"/>
    <w:tmpl w:val="3DF8E33C"/>
    <w:lvl w:ilvl="0" w:tplc="0416000D">
      <w:start w:val="1"/>
      <w:numFmt w:val="bullet"/>
      <w:lvlText w:val=""/>
      <w:lvlJc w:val="left"/>
      <w:pPr>
        <w:ind w:left="1140" w:hanging="360"/>
      </w:pPr>
      <w:rPr>
        <w:rFonts w:ascii="Wingdings" w:hAnsi="Wingdings"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3" w15:restartNumberingAfterBreak="0">
    <w:nsid w:val="329D6ABC"/>
    <w:multiLevelType w:val="hybridMultilevel"/>
    <w:tmpl w:val="D5DC07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CCC61A4"/>
    <w:multiLevelType w:val="hybridMultilevel"/>
    <w:tmpl w:val="962202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CD82FC0"/>
    <w:multiLevelType w:val="hybridMultilevel"/>
    <w:tmpl w:val="34FE4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3645C31"/>
    <w:multiLevelType w:val="hybridMultilevel"/>
    <w:tmpl w:val="132AA3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6049AA"/>
    <w:multiLevelType w:val="hybridMultilevel"/>
    <w:tmpl w:val="6F741F1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78A22BFC"/>
    <w:multiLevelType w:val="multilevel"/>
    <w:tmpl w:val="3F16B85A"/>
    <w:lvl w:ilvl="0">
      <w:start w:val="1"/>
      <w:numFmt w:val="decimal"/>
      <w:lvlText w:val="%1."/>
      <w:lvlJc w:val="left"/>
      <w:pPr>
        <w:ind w:left="1070" w:hanging="360"/>
      </w:pPr>
      <w:rPr>
        <w:b/>
      </w:rPr>
    </w:lvl>
    <w:lvl w:ilvl="1">
      <w:start w:val="1"/>
      <w:numFmt w:val="decimal"/>
      <w:pStyle w:val="Ttulo2"/>
      <w:lvlText w:val="%1.%2."/>
      <w:lvlJc w:val="left"/>
      <w:pPr>
        <w:ind w:left="1567" w:hanging="432"/>
      </w:pPr>
      <w:rPr>
        <w:rFonts w:cs="Times New Roman"/>
        <w:b/>
        <w:bCs w:val="0"/>
        <w:i w:val="0"/>
        <w:iCs w:val="0"/>
        <w:caps w:val="0"/>
        <w:smallCaps w:val="0"/>
        <w:strike w:val="0"/>
        <w:dstrike w:val="0"/>
        <w:noProof w:val="0"/>
        <w:vanish w:val="0"/>
        <w:color w:val="000066"/>
        <w:spacing w:val="0"/>
        <w:kern w:val="0"/>
        <w:position w:val="0"/>
        <w:u w:val="none"/>
        <w:effect w:val="none"/>
        <w:vertAlign w:val="baseline"/>
        <w:em w:val="none"/>
        <w:specVanish w:val="0"/>
      </w:rPr>
    </w:lvl>
    <w:lvl w:ilvl="2">
      <w:start w:val="1"/>
      <w:numFmt w:val="decimal"/>
      <w:pStyle w:val="Ttulo3"/>
      <w:lvlText w:val="%1.%2.%3."/>
      <w:lvlJc w:val="left"/>
      <w:pPr>
        <w:ind w:left="4190"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8"/>
  </w:num>
  <w:num w:numId="2">
    <w:abstractNumId w:val="4"/>
  </w:num>
  <w:num w:numId="3">
    <w:abstractNumId w:val="8"/>
  </w:num>
  <w:num w:numId="4">
    <w:abstractNumId w:val="5"/>
  </w:num>
  <w:num w:numId="5">
    <w:abstractNumId w:val="7"/>
  </w:num>
  <w:num w:numId="6">
    <w:abstractNumId w:val="1"/>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CA"/>
    <w:rsid w:val="000132C3"/>
    <w:rsid w:val="00031372"/>
    <w:rsid w:val="0008665E"/>
    <w:rsid w:val="00093CBE"/>
    <w:rsid w:val="000F06A5"/>
    <w:rsid w:val="000F1DCC"/>
    <w:rsid w:val="000F30A9"/>
    <w:rsid w:val="00104961"/>
    <w:rsid w:val="00104FA9"/>
    <w:rsid w:val="001069B7"/>
    <w:rsid w:val="001251F2"/>
    <w:rsid w:val="001332E7"/>
    <w:rsid w:val="00141826"/>
    <w:rsid w:val="00143A8B"/>
    <w:rsid w:val="00166E43"/>
    <w:rsid w:val="00173758"/>
    <w:rsid w:val="001837EE"/>
    <w:rsid w:val="001C7E8B"/>
    <w:rsid w:val="001E2CAB"/>
    <w:rsid w:val="001E6C8D"/>
    <w:rsid w:val="00271849"/>
    <w:rsid w:val="0027634E"/>
    <w:rsid w:val="002A0371"/>
    <w:rsid w:val="002C599E"/>
    <w:rsid w:val="002D19A9"/>
    <w:rsid w:val="002E58B9"/>
    <w:rsid w:val="002F362B"/>
    <w:rsid w:val="00347CB8"/>
    <w:rsid w:val="00351F1E"/>
    <w:rsid w:val="00355DE6"/>
    <w:rsid w:val="00356519"/>
    <w:rsid w:val="003606F5"/>
    <w:rsid w:val="003E034E"/>
    <w:rsid w:val="003E106D"/>
    <w:rsid w:val="00417450"/>
    <w:rsid w:val="0042060A"/>
    <w:rsid w:val="00424C19"/>
    <w:rsid w:val="00430059"/>
    <w:rsid w:val="0044781B"/>
    <w:rsid w:val="004531D4"/>
    <w:rsid w:val="00461529"/>
    <w:rsid w:val="00473780"/>
    <w:rsid w:val="00491F1C"/>
    <w:rsid w:val="004947B3"/>
    <w:rsid w:val="004B1D4F"/>
    <w:rsid w:val="004C5DE7"/>
    <w:rsid w:val="00500CD9"/>
    <w:rsid w:val="00505C92"/>
    <w:rsid w:val="005109DD"/>
    <w:rsid w:val="005249CA"/>
    <w:rsid w:val="00556756"/>
    <w:rsid w:val="005734D0"/>
    <w:rsid w:val="005833D8"/>
    <w:rsid w:val="005F2F01"/>
    <w:rsid w:val="005F562F"/>
    <w:rsid w:val="00643322"/>
    <w:rsid w:val="006726DE"/>
    <w:rsid w:val="006829E5"/>
    <w:rsid w:val="006949BC"/>
    <w:rsid w:val="00694D03"/>
    <w:rsid w:val="006A5EF7"/>
    <w:rsid w:val="006D3CF6"/>
    <w:rsid w:val="006F0044"/>
    <w:rsid w:val="00726D4A"/>
    <w:rsid w:val="007405F0"/>
    <w:rsid w:val="0074579F"/>
    <w:rsid w:val="00747133"/>
    <w:rsid w:val="00751E68"/>
    <w:rsid w:val="007529FB"/>
    <w:rsid w:val="00756EC4"/>
    <w:rsid w:val="007643DB"/>
    <w:rsid w:val="007868AA"/>
    <w:rsid w:val="00792B5D"/>
    <w:rsid w:val="007A22A6"/>
    <w:rsid w:val="007A3BD0"/>
    <w:rsid w:val="007D0EFB"/>
    <w:rsid w:val="007F4752"/>
    <w:rsid w:val="007F4B88"/>
    <w:rsid w:val="007F7C67"/>
    <w:rsid w:val="00800838"/>
    <w:rsid w:val="0080330A"/>
    <w:rsid w:val="0083761B"/>
    <w:rsid w:val="008403E9"/>
    <w:rsid w:val="008449F1"/>
    <w:rsid w:val="00857EED"/>
    <w:rsid w:val="00860B6C"/>
    <w:rsid w:val="008C50BE"/>
    <w:rsid w:val="008C5495"/>
    <w:rsid w:val="008D0148"/>
    <w:rsid w:val="008E3B18"/>
    <w:rsid w:val="009269CC"/>
    <w:rsid w:val="00965192"/>
    <w:rsid w:val="00976956"/>
    <w:rsid w:val="009A2351"/>
    <w:rsid w:val="009B7D5D"/>
    <w:rsid w:val="009E00DC"/>
    <w:rsid w:val="009E662B"/>
    <w:rsid w:val="00A21DFC"/>
    <w:rsid w:val="00A50865"/>
    <w:rsid w:val="00A546B4"/>
    <w:rsid w:val="00A6236B"/>
    <w:rsid w:val="00A91414"/>
    <w:rsid w:val="00AA2603"/>
    <w:rsid w:val="00AB3D85"/>
    <w:rsid w:val="00AB6FE9"/>
    <w:rsid w:val="00AD0C8B"/>
    <w:rsid w:val="00AE005E"/>
    <w:rsid w:val="00AE67CB"/>
    <w:rsid w:val="00B0165B"/>
    <w:rsid w:val="00B10158"/>
    <w:rsid w:val="00B159C5"/>
    <w:rsid w:val="00B2173E"/>
    <w:rsid w:val="00B27684"/>
    <w:rsid w:val="00B838C6"/>
    <w:rsid w:val="00B9081A"/>
    <w:rsid w:val="00BA520A"/>
    <w:rsid w:val="00BB1CB0"/>
    <w:rsid w:val="00BD3217"/>
    <w:rsid w:val="00BF19D6"/>
    <w:rsid w:val="00BF1C60"/>
    <w:rsid w:val="00BF4ABE"/>
    <w:rsid w:val="00BF4CC9"/>
    <w:rsid w:val="00C14055"/>
    <w:rsid w:val="00C30C5E"/>
    <w:rsid w:val="00C41241"/>
    <w:rsid w:val="00C56605"/>
    <w:rsid w:val="00C70832"/>
    <w:rsid w:val="00C81329"/>
    <w:rsid w:val="00C95DB3"/>
    <w:rsid w:val="00CB02B8"/>
    <w:rsid w:val="00CB6655"/>
    <w:rsid w:val="00CC496A"/>
    <w:rsid w:val="00CD48E2"/>
    <w:rsid w:val="00CF63D5"/>
    <w:rsid w:val="00D357C0"/>
    <w:rsid w:val="00D36696"/>
    <w:rsid w:val="00D47E7B"/>
    <w:rsid w:val="00D55C09"/>
    <w:rsid w:val="00D56D88"/>
    <w:rsid w:val="00D61C23"/>
    <w:rsid w:val="00D62FF8"/>
    <w:rsid w:val="00D843FC"/>
    <w:rsid w:val="00DE48DA"/>
    <w:rsid w:val="00DE5B5C"/>
    <w:rsid w:val="00E0168C"/>
    <w:rsid w:val="00E049D1"/>
    <w:rsid w:val="00E10F2A"/>
    <w:rsid w:val="00E349CF"/>
    <w:rsid w:val="00E413DE"/>
    <w:rsid w:val="00E53830"/>
    <w:rsid w:val="00E74712"/>
    <w:rsid w:val="00EA5715"/>
    <w:rsid w:val="00ED3356"/>
    <w:rsid w:val="00ED595A"/>
    <w:rsid w:val="00F031EF"/>
    <w:rsid w:val="00F33B84"/>
    <w:rsid w:val="00F51A00"/>
    <w:rsid w:val="00F96C02"/>
    <w:rsid w:val="00FD286D"/>
    <w:rsid w:val="00FD4F93"/>
    <w:rsid w:val="00FD5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FD497-EFF6-49A3-BB75-83D7EB4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D19A9"/>
    <w:pPr>
      <w:keepNext/>
      <w:keepLines/>
      <w:spacing w:before="400" w:after="40" w:line="360" w:lineRule="auto"/>
      <w:outlineLvl w:val="0"/>
    </w:pPr>
    <w:rPr>
      <w:rFonts w:ascii="Times New Roman" w:eastAsia="MS Gothic" w:hAnsi="Times New Roman" w:cs="Times New Roman"/>
      <w:sz w:val="24"/>
      <w:szCs w:val="36"/>
    </w:rPr>
  </w:style>
  <w:style w:type="paragraph" w:styleId="Ttulo2">
    <w:name w:val="heading 2"/>
    <w:basedOn w:val="Normal"/>
    <w:next w:val="Normal"/>
    <w:link w:val="Ttulo2Char"/>
    <w:autoRedefine/>
    <w:uiPriority w:val="9"/>
    <w:qFormat/>
    <w:rsid w:val="002D19A9"/>
    <w:pPr>
      <w:keepNext/>
      <w:keepLines/>
      <w:numPr>
        <w:ilvl w:val="1"/>
        <w:numId w:val="1"/>
      </w:numPr>
      <w:spacing w:after="160" w:line="360" w:lineRule="auto"/>
      <w:ind w:left="1512"/>
      <w:jc w:val="both"/>
      <w:outlineLvl w:val="1"/>
    </w:pPr>
    <w:rPr>
      <w:rFonts w:ascii="Times New Roman" w:eastAsia="MS Gothic" w:hAnsi="Times New Roman" w:cs="Times New Roman"/>
      <w:b/>
      <w:color w:val="000000" w:themeColor="text1"/>
      <w:sz w:val="24"/>
      <w:szCs w:val="24"/>
    </w:rPr>
  </w:style>
  <w:style w:type="paragraph" w:styleId="Ttulo3">
    <w:name w:val="heading 3"/>
    <w:basedOn w:val="Ttulo4"/>
    <w:next w:val="Normal"/>
    <w:link w:val="Ttulo3Char"/>
    <w:autoRedefine/>
    <w:uiPriority w:val="9"/>
    <w:qFormat/>
    <w:rsid w:val="002D19A9"/>
    <w:pPr>
      <w:numPr>
        <w:ilvl w:val="2"/>
        <w:numId w:val="1"/>
      </w:numPr>
      <w:spacing w:before="0" w:after="160" w:line="240" w:lineRule="auto"/>
      <w:ind w:left="1944"/>
      <w:jc w:val="both"/>
      <w:outlineLvl w:val="2"/>
    </w:pPr>
    <w:rPr>
      <w:rFonts w:ascii="Arial" w:eastAsia="MS Gothic" w:hAnsi="Arial" w:cs="Arial"/>
      <w:b w:val="0"/>
      <w:bCs w:val="0"/>
      <w:i w:val="0"/>
      <w:iCs w:val="0"/>
      <w:color w:val="000066"/>
    </w:rPr>
  </w:style>
  <w:style w:type="paragraph" w:styleId="Ttulo4">
    <w:name w:val="heading 4"/>
    <w:basedOn w:val="Normal"/>
    <w:next w:val="Normal"/>
    <w:link w:val="Ttulo4Char"/>
    <w:uiPriority w:val="9"/>
    <w:semiHidden/>
    <w:unhideWhenUsed/>
    <w:qFormat/>
    <w:rsid w:val="002D19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46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46B4"/>
    <w:rPr>
      <w:rFonts w:ascii="Tahoma" w:hAnsi="Tahoma" w:cs="Tahoma"/>
      <w:sz w:val="16"/>
      <w:szCs w:val="16"/>
    </w:rPr>
  </w:style>
  <w:style w:type="character" w:styleId="Hyperlink">
    <w:name w:val="Hyperlink"/>
    <w:basedOn w:val="Fontepargpadro"/>
    <w:uiPriority w:val="99"/>
    <w:unhideWhenUsed/>
    <w:rsid w:val="00BD3217"/>
    <w:rPr>
      <w:color w:val="0000FF" w:themeColor="hyperlink"/>
      <w:u w:val="single"/>
    </w:rPr>
  </w:style>
  <w:style w:type="character" w:customStyle="1" w:styleId="Ttulo1Char">
    <w:name w:val="Título 1 Char"/>
    <w:basedOn w:val="Fontepargpadro"/>
    <w:link w:val="Ttulo1"/>
    <w:uiPriority w:val="9"/>
    <w:rsid w:val="002D19A9"/>
    <w:rPr>
      <w:rFonts w:ascii="Times New Roman" w:eastAsia="MS Gothic" w:hAnsi="Times New Roman" w:cs="Times New Roman"/>
      <w:sz w:val="24"/>
      <w:szCs w:val="36"/>
    </w:rPr>
  </w:style>
  <w:style w:type="character" w:customStyle="1" w:styleId="Ttulo2Char">
    <w:name w:val="Título 2 Char"/>
    <w:basedOn w:val="Fontepargpadro"/>
    <w:link w:val="Ttulo2"/>
    <w:uiPriority w:val="9"/>
    <w:rsid w:val="002D19A9"/>
    <w:rPr>
      <w:rFonts w:ascii="Times New Roman" w:eastAsia="MS Gothic" w:hAnsi="Times New Roman" w:cs="Times New Roman"/>
      <w:b/>
      <w:color w:val="000000" w:themeColor="text1"/>
      <w:sz w:val="24"/>
      <w:szCs w:val="24"/>
    </w:rPr>
  </w:style>
  <w:style w:type="character" w:customStyle="1" w:styleId="Ttulo3Char">
    <w:name w:val="Título 3 Char"/>
    <w:basedOn w:val="Fontepargpadro"/>
    <w:link w:val="Ttulo3"/>
    <w:uiPriority w:val="9"/>
    <w:rsid w:val="002D19A9"/>
    <w:rPr>
      <w:rFonts w:ascii="Arial" w:eastAsia="MS Gothic" w:hAnsi="Arial" w:cs="Arial"/>
      <w:color w:val="000066"/>
    </w:rPr>
  </w:style>
  <w:style w:type="paragraph" w:customStyle="1" w:styleId="GradeMdia21">
    <w:name w:val="Grade Média 21"/>
    <w:uiPriority w:val="1"/>
    <w:qFormat/>
    <w:rsid w:val="002D19A9"/>
    <w:pPr>
      <w:spacing w:after="0" w:line="240" w:lineRule="auto"/>
    </w:pPr>
    <w:rPr>
      <w:rFonts w:ascii="Cambria" w:eastAsia="MS Mincho" w:hAnsi="Cambria" w:cs="Times New Roman"/>
    </w:rPr>
  </w:style>
  <w:style w:type="character" w:customStyle="1" w:styleId="Ttulo4Char">
    <w:name w:val="Título 4 Char"/>
    <w:basedOn w:val="Fontepargpadro"/>
    <w:link w:val="Ttulo4"/>
    <w:uiPriority w:val="9"/>
    <w:semiHidden/>
    <w:rsid w:val="002D19A9"/>
    <w:rPr>
      <w:rFonts w:asciiTheme="majorHAnsi" w:eastAsiaTheme="majorEastAsia" w:hAnsiTheme="majorHAnsi" w:cstheme="majorBidi"/>
      <w:b/>
      <w:bCs/>
      <w:i/>
      <w:iCs/>
      <w:color w:val="4F81BD" w:themeColor="accent1"/>
    </w:rPr>
  </w:style>
  <w:style w:type="paragraph" w:styleId="Cabealho">
    <w:name w:val="header"/>
    <w:basedOn w:val="Normal"/>
    <w:link w:val="CabealhoChar"/>
    <w:unhideWhenUsed/>
    <w:rsid w:val="00E10F2A"/>
    <w:pPr>
      <w:tabs>
        <w:tab w:val="center" w:pos="4252"/>
        <w:tab w:val="right" w:pos="8504"/>
      </w:tabs>
      <w:spacing w:after="0" w:line="240" w:lineRule="auto"/>
    </w:pPr>
  </w:style>
  <w:style w:type="character" w:customStyle="1" w:styleId="CabealhoChar">
    <w:name w:val="Cabeçalho Char"/>
    <w:basedOn w:val="Fontepargpadro"/>
    <w:link w:val="Cabealho"/>
    <w:rsid w:val="00E10F2A"/>
  </w:style>
  <w:style w:type="paragraph" w:styleId="Rodap">
    <w:name w:val="footer"/>
    <w:basedOn w:val="Normal"/>
    <w:link w:val="RodapChar"/>
    <w:uiPriority w:val="99"/>
    <w:unhideWhenUsed/>
    <w:rsid w:val="00E10F2A"/>
    <w:pPr>
      <w:tabs>
        <w:tab w:val="center" w:pos="4252"/>
        <w:tab w:val="right" w:pos="8504"/>
      </w:tabs>
      <w:spacing w:after="0" w:line="240" w:lineRule="auto"/>
    </w:pPr>
  </w:style>
  <w:style w:type="character" w:customStyle="1" w:styleId="RodapChar">
    <w:name w:val="Rodapé Char"/>
    <w:basedOn w:val="Fontepargpadro"/>
    <w:link w:val="Rodap"/>
    <w:uiPriority w:val="99"/>
    <w:rsid w:val="00E10F2A"/>
  </w:style>
  <w:style w:type="paragraph" w:styleId="Textodecomentrio">
    <w:name w:val="annotation text"/>
    <w:basedOn w:val="Normal"/>
    <w:link w:val="TextodecomentrioChar"/>
    <w:rsid w:val="009269CC"/>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9269CC"/>
    <w:rPr>
      <w:rFonts w:ascii="Times New Roman" w:eastAsia="Times New Roman" w:hAnsi="Times New Roman" w:cs="Times New Roman"/>
      <w:sz w:val="20"/>
      <w:szCs w:val="20"/>
      <w:lang w:eastAsia="pt-BR"/>
    </w:rPr>
  </w:style>
  <w:style w:type="paragraph" w:styleId="Sumrio1">
    <w:name w:val="toc 1"/>
    <w:basedOn w:val="Normal"/>
    <w:next w:val="Normal"/>
    <w:autoRedefine/>
    <w:uiPriority w:val="39"/>
    <w:qFormat/>
    <w:rsid w:val="002E58B9"/>
    <w:pPr>
      <w:tabs>
        <w:tab w:val="left" w:pos="540"/>
        <w:tab w:val="right" w:leader="dot" w:pos="8931"/>
      </w:tabs>
      <w:spacing w:before="120" w:after="120" w:line="240" w:lineRule="auto"/>
    </w:pPr>
    <w:rPr>
      <w:rFonts w:ascii="Arial" w:eastAsia="Calibri" w:hAnsi="Arial" w:cs="Arial"/>
      <w:b/>
      <w:bCs/>
      <w:caps/>
      <w:smallCaps/>
      <w:noProof/>
      <w:color w:val="000066"/>
      <w:spacing w:val="5"/>
      <w:sz w:val="20"/>
      <w:szCs w:val="20"/>
    </w:rPr>
  </w:style>
  <w:style w:type="paragraph" w:styleId="Sumrio2">
    <w:name w:val="toc 2"/>
    <w:basedOn w:val="Normal"/>
    <w:next w:val="Normal"/>
    <w:autoRedefine/>
    <w:uiPriority w:val="39"/>
    <w:qFormat/>
    <w:rsid w:val="002E58B9"/>
    <w:pPr>
      <w:tabs>
        <w:tab w:val="left" w:pos="540"/>
        <w:tab w:val="right" w:leader="dot" w:pos="8931"/>
      </w:tabs>
      <w:spacing w:after="0" w:line="240" w:lineRule="auto"/>
      <w:ind w:left="540" w:hanging="540"/>
    </w:pPr>
    <w:rPr>
      <w:rFonts w:ascii="Arial" w:eastAsia="Times New Roman" w:hAnsi="Arial" w:cs="Times New Roman"/>
      <w:smallCaps/>
      <w:noProof/>
      <w:color w:val="000066"/>
      <w:sz w:val="20"/>
      <w:szCs w:val="20"/>
    </w:rPr>
  </w:style>
  <w:style w:type="paragraph" w:styleId="CabealhodoSumrio">
    <w:name w:val="TOC Heading"/>
    <w:basedOn w:val="Ttulo1"/>
    <w:next w:val="Normal"/>
    <w:uiPriority w:val="39"/>
    <w:semiHidden/>
    <w:unhideWhenUsed/>
    <w:qFormat/>
    <w:rsid w:val="009269CC"/>
    <w:pPr>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D62FF8"/>
    <w:pPr>
      <w:ind w:left="720"/>
      <w:contextualSpacing/>
    </w:pPr>
  </w:style>
  <w:style w:type="character" w:styleId="Refdecomentrio">
    <w:name w:val="annotation reference"/>
    <w:basedOn w:val="Fontepargpadro"/>
    <w:uiPriority w:val="99"/>
    <w:semiHidden/>
    <w:unhideWhenUsed/>
    <w:rsid w:val="00C56605"/>
    <w:rPr>
      <w:sz w:val="16"/>
      <w:szCs w:val="16"/>
    </w:rPr>
  </w:style>
  <w:style w:type="paragraph" w:styleId="Assuntodocomentrio">
    <w:name w:val="annotation subject"/>
    <w:basedOn w:val="Textodecomentrio"/>
    <w:next w:val="Textodecomentrio"/>
    <w:link w:val="AssuntodocomentrioChar"/>
    <w:uiPriority w:val="99"/>
    <w:semiHidden/>
    <w:unhideWhenUsed/>
    <w:rsid w:val="00C56605"/>
    <w:pPr>
      <w:spacing w:after="200"/>
    </w:pPr>
    <w:rPr>
      <w:rFonts w:asciiTheme="minorHAnsi" w:eastAsiaTheme="minorEastAsia" w:hAnsiTheme="minorHAnsi" w:cstheme="minorBidi"/>
      <w:b/>
      <w:bCs/>
    </w:rPr>
  </w:style>
  <w:style w:type="character" w:customStyle="1" w:styleId="AssuntodocomentrioChar">
    <w:name w:val="Assunto do comentário Char"/>
    <w:basedOn w:val="TextodecomentrioChar"/>
    <w:link w:val="Assuntodocomentrio"/>
    <w:uiPriority w:val="99"/>
    <w:semiHidden/>
    <w:rsid w:val="00C56605"/>
    <w:rPr>
      <w:rFonts w:ascii="Times New Roman" w:eastAsia="Times New Roman" w:hAnsi="Times New Roman" w:cs="Times New Roman"/>
      <w:b/>
      <w:bCs/>
      <w:sz w:val="20"/>
      <w:szCs w:val="20"/>
      <w:lang w:eastAsia="pt-BR"/>
    </w:rPr>
  </w:style>
  <w:style w:type="paragraph" w:customStyle="1" w:styleId="Default">
    <w:name w:val="Default"/>
    <w:rsid w:val="00355DE6"/>
    <w:pPr>
      <w:widowControl w:val="0"/>
      <w:autoSpaceDE w:val="0"/>
      <w:autoSpaceDN w:val="0"/>
      <w:adjustRightInd w:val="0"/>
      <w:spacing w:after="0" w:line="240" w:lineRule="auto"/>
    </w:pPr>
    <w:rPr>
      <w:rFonts w:ascii="UAGLE Y+ Trajan" w:eastAsia="Times New Roman" w:hAnsi="UAGLE Y+ Trajan" w:cs="UAGLE Y+ Traj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F87C0-A8F9-4B12-989B-6CFE377A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Conglomerado Alfa</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Regina de Abreu Boturi</dc:creator>
  <cp:lastModifiedBy>Fabiana Fischer Teixeira de Souza Herani</cp:lastModifiedBy>
  <cp:revision>2</cp:revision>
  <cp:lastPrinted>2018-11-14T11:49:00Z</cp:lastPrinted>
  <dcterms:created xsi:type="dcterms:W3CDTF">2020-06-01T12:56:00Z</dcterms:created>
  <dcterms:modified xsi:type="dcterms:W3CDTF">2020-06-01T12:56:00Z</dcterms:modified>
</cp:coreProperties>
</file>